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B6B36F" w14:textId="05D3B461" w:rsidR="00D60B42" w:rsidRDefault="00BC3DC2" w:rsidP="004A08C9">
      <w:pPr>
        <w:pStyle w:val="Heading1"/>
        <w:tabs>
          <w:tab w:val="left" w:pos="5103"/>
        </w:tabs>
        <w:ind w:right="-24"/>
      </w:pPr>
      <w:bookmarkStart w:id="0" w:name="_Ombudsman’s_Report"/>
      <w:bookmarkEnd w:id="0"/>
      <w:r w:rsidRPr="001C0EE6">
        <w:t>P</w:t>
      </w:r>
      <w:r w:rsidR="005F35B0" w:rsidRPr="001C0EE6">
        <w:t xml:space="preserve">ublic </w:t>
      </w:r>
      <w:r w:rsidRPr="001C0EE6">
        <w:t>T</w:t>
      </w:r>
      <w:r w:rsidR="005F35B0" w:rsidRPr="001C0EE6">
        <w:t xml:space="preserve">ransport </w:t>
      </w:r>
      <w:r w:rsidRPr="001C0EE6">
        <w:t>O</w:t>
      </w:r>
      <w:r w:rsidR="005F35B0" w:rsidRPr="001C0EE6">
        <w:t>mbudsman</w:t>
      </w:r>
      <w:r w:rsidRPr="001C0EE6">
        <w:t xml:space="preserve"> A</w:t>
      </w:r>
      <w:r w:rsidR="005F35B0" w:rsidRPr="001C0EE6">
        <w:t xml:space="preserve">nnual Report </w:t>
      </w:r>
      <w:r w:rsidRPr="001C0EE6">
        <w:t>20</w:t>
      </w:r>
      <w:r w:rsidR="00A5132F">
        <w:t>20</w:t>
      </w:r>
    </w:p>
    <w:p w14:paraId="1E09EFF8" w14:textId="1A9C1AA4" w:rsidR="00FB263D" w:rsidRPr="001C0EE6" w:rsidRDefault="00FB263D" w:rsidP="001F64A7">
      <w:pPr>
        <w:pStyle w:val="Heading1"/>
      </w:pPr>
      <w:r w:rsidRPr="001C0EE6">
        <w:t>PTO Scheme Members</w:t>
      </w:r>
    </w:p>
    <w:p w14:paraId="06C3D885" w14:textId="2E39821B" w:rsidR="001C0EE6" w:rsidRDefault="001C0EE6" w:rsidP="001C0EE6">
      <w:pPr>
        <w:rPr>
          <w:lang w:val="en-US"/>
        </w:rPr>
      </w:pPr>
      <w:proofErr w:type="spellStart"/>
      <w:r w:rsidRPr="001C0EE6">
        <w:rPr>
          <w:lang w:val="en-US"/>
        </w:rPr>
        <w:t>BusVic</w:t>
      </w:r>
      <w:proofErr w:type="spellEnd"/>
      <w:r>
        <w:rPr>
          <w:lang w:val="en-US"/>
        </w:rPr>
        <w:t xml:space="preserve">, </w:t>
      </w:r>
      <w:r w:rsidRPr="001C0EE6">
        <w:rPr>
          <w:lang w:val="en-US"/>
        </w:rPr>
        <w:t xml:space="preserve">Level Crossing Removal </w:t>
      </w:r>
      <w:r>
        <w:rPr>
          <w:lang w:val="en-US"/>
        </w:rPr>
        <w:t xml:space="preserve">Project, </w:t>
      </w:r>
      <w:r w:rsidRPr="001C0EE6">
        <w:rPr>
          <w:lang w:val="en-US"/>
        </w:rPr>
        <w:t>Metro Trains Melbourne (Metro)</w:t>
      </w:r>
      <w:r>
        <w:rPr>
          <w:lang w:val="en-US"/>
        </w:rPr>
        <w:t xml:space="preserve">, </w:t>
      </w:r>
      <w:r w:rsidRPr="001C0EE6">
        <w:rPr>
          <w:lang w:val="en-US"/>
        </w:rPr>
        <w:t>Public Transport Victoria</w:t>
      </w:r>
      <w:r w:rsidR="00A5132F">
        <w:rPr>
          <w:lang w:val="en-US"/>
        </w:rPr>
        <w:t>*</w:t>
      </w:r>
      <w:r>
        <w:rPr>
          <w:lang w:val="en-US"/>
        </w:rPr>
        <w:t xml:space="preserve">, </w:t>
      </w:r>
      <w:r w:rsidRPr="001C0EE6">
        <w:rPr>
          <w:lang w:val="en-US"/>
        </w:rPr>
        <w:t>Rail Projects Victoria</w:t>
      </w:r>
      <w:r>
        <w:rPr>
          <w:lang w:val="en-US"/>
        </w:rPr>
        <w:t xml:space="preserve">, </w:t>
      </w:r>
      <w:proofErr w:type="spellStart"/>
      <w:r w:rsidRPr="001C0EE6">
        <w:rPr>
          <w:lang w:val="en-US"/>
        </w:rPr>
        <w:t>SkyBus</w:t>
      </w:r>
      <w:proofErr w:type="spellEnd"/>
      <w:r>
        <w:rPr>
          <w:lang w:val="en-US"/>
        </w:rPr>
        <w:t xml:space="preserve">, </w:t>
      </w:r>
      <w:r w:rsidRPr="001C0EE6">
        <w:rPr>
          <w:lang w:val="en-US"/>
        </w:rPr>
        <w:t>Southern Cross Station</w:t>
      </w:r>
      <w:r>
        <w:rPr>
          <w:lang w:val="en-US"/>
        </w:rPr>
        <w:t xml:space="preserve">, </w:t>
      </w:r>
      <w:r w:rsidRPr="001C0EE6">
        <w:rPr>
          <w:lang w:val="en-US"/>
        </w:rPr>
        <w:t>Transdev Melbourne</w:t>
      </w:r>
      <w:r>
        <w:rPr>
          <w:lang w:val="en-US"/>
        </w:rPr>
        <w:t xml:space="preserve">, Ventura Bus Lines, </w:t>
      </w:r>
      <w:proofErr w:type="spellStart"/>
      <w:r w:rsidRPr="001C0EE6">
        <w:rPr>
          <w:lang w:val="en-US"/>
        </w:rPr>
        <w:t>VicTrack</w:t>
      </w:r>
      <w:proofErr w:type="spellEnd"/>
      <w:r>
        <w:rPr>
          <w:lang w:val="en-US"/>
        </w:rPr>
        <w:t xml:space="preserve">, </w:t>
      </w:r>
      <w:r w:rsidRPr="001C0EE6">
        <w:rPr>
          <w:lang w:val="en-US"/>
        </w:rPr>
        <w:t>V/Line</w:t>
      </w:r>
      <w:r>
        <w:rPr>
          <w:lang w:val="en-US"/>
        </w:rPr>
        <w:t xml:space="preserve">, </w:t>
      </w:r>
      <w:proofErr w:type="spellStart"/>
      <w:r w:rsidRPr="001C0EE6">
        <w:rPr>
          <w:lang w:val="en-US"/>
        </w:rPr>
        <w:t>Yarra</w:t>
      </w:r>
      <w:proofErr w:type="spellEnd"/>
      <w:r w:rsidRPr="001C0EE6">
        <w:rPr>
          <w:lang w:val="en-US"/>
        </w:rPr>
        <w:t xml:space="preserve"> Trams</w:t>
      </w:r>
      <w:r>
        <w:rPr>
          <w:lang w:val="en-US"/>
        </w:rPr>
        <w:t>.</w:t>
      </w:r>
    </w:p>
    <w:p w14:paraId="1338BF3A" w14:textId="11669757" w:rsidR="00FB263D" w:rsidRPr="00A5132F" w:rsidRDefault="001C0EE6" w:rsidP="00A5132F">
      <w:pPr>
        <w:rPr>
          <w:i/>
          <w:iCs/>
        </w:rPr>
      </w:pPr>
      <w:r w:rsidRPr="00A5132F">
        <w:rPr>
          <w:i/>
          <w:iCs/>
        </w:rPr>
        <w:t>*</w:t>
      </w:r>
      <w:r w:rsidR="00A5132F" w:rsidRPr="00A5132F">
        <w:rPr>
          <w:i/>
          <w:iCs/>
        </w:rPr>
        <w:t xml:space="preserve"> On 1 July 2019, Public Transport Victoria (PTV) together with VicRoads merged with the </w:t>
      </w:r>
      <w:r w:rsidR="00A5132F" w:rsidRPr="00A5132F">
        <w:rPr>
          <w:i/>
          <w:iCs/>
        </w:rPr>
        <w:br/>
        <w:t>Department of Transport (DoT) to create an integrated transport department.</w:t>
      </w:r>
    </w:p>
    <w:p w14:paraId="27B0D101" w14:textId="03BBEBF2" w:rsidR="001C0EE6" w:rsidRDefault="001C0EE6" w:rsidP="001F64A7">
      <w:pPr>
        <w:pStyle w:val="Heading1"/>
      </w:pPr>
      <w:r>
        <w:t xml:space="preserve">Our </w:t>
      </w:r>
      <w:r w:rsidR="001F64A7" w:rsidRPr="001F64A7">
        <w:t>Value</w:t>
      </w:r>
      <w:r w:rsidR="001F64A7">
        <w:t xml:space="preserve"> Proposition</w:t>
      </w:r>
    </w:p>
    <w:p w14:paraId="22DB8460" w14:textId="77777777" w:rsidR="001C0EE6" w:rsidRDefault="001C0EE6" w:rsidP="001C0EE6">
      <w:r>
        <w:t>The Public Transport Ombudsman is a fair, free and fast service to sort out public transport complaints and help make the system better for everyone.</w:t>
      </w:r>
    </w:p>
    <w:p w14:paraId="5A7211FE" w14:textId="77777777" w:rsidR="001C0EE6" w:rsidRDefault="001C0EE6" w:rsidP="001C0EE6">
      <w:r>
        <w:t>We’re here to listen.</w:t>
      </w:r>
    </w:p>
    <w:p w14:paraId="6529232D" w14:textId="77777777" w:rsidR="001C0EE6" w:rsidRDefault="001C0EE6" w:rsidP="001C0EE6">
      <w:r>
        <w:t>We have the power to act, influence and drive change.</w:t>
      </w:r>
    </w:p>
    <w:p w14:paraId="76375062" w14:textId="77777777" w:rsidR="001C0EE6" w:rsidRDefault="001C0EE6" w:rsidP="001C0EE6">
      <w:r>
        <w:t>We are highly skilled.</w:t>
      </w:r>
    </w:p>
    <w:p w14:paraId="4313B40A" w14:textId="77777777" w:rsidR="001C0EE6" w:rsidRDefault="001C0EE6" w:rsidP="001C0EE6">
      <w:r>
        <w:t>We help people reach agreements.</w:t>
      </w:r>
    </w:p>
    <w:p w14:paraId="65EEC7F6" w14:textId="77777777" w:rsidR="001C0EE6" w:rsidRDefault="001C0EE6" w:rsidP="001C0EE6">
      <w:r>
        <w:t>We’re impartial and achieve fair resolutions.</w:t>
      </w:r>
    </w:p>
    <w:p w14:paraId="147A0A87" w14:textId="27C88D38" w:rsidR="001C0EE6" w:rsidRDefault="001C0EE6" w:rsidP="001C0EE6">
      <w:r>
        <w:t>We act on opportunities to improve the system.</w:t>
      </w:r>
    </w:p>
    <w:p w14:paraId="53DE620D" w14:textId="144EEE57" w:rsidR="00A5132F" w:rsidRPr="00A5132F" w:rsidRDefault="00A5132F" w:rsidP="00A5132F">
      <w:r w:rsidRPr="00A5132F">
        <w:t>We’re here for the whole community.</w:t>
      </w:r>
    </w:p>
    <w:p w14:paraId="5E5B3ACC" w14:textId="77777777" w:rsidR="003D5B3A" w:rsidRPr="00A138D9" w:rsidRDefault="003D5B3A" w:rsidP="001C0EE6">
      <w:pPr>
        <w:pStyle w:val="Heading1"/>
      </w:pPr>
      <w:r w:rsidRPr="00A138D9">
        <w:t>Contents</w:t>
      </w:r>
    </w:p>
    <w:p w14:paraId="6C46053B" w14:textId="1284C860" w:rsidR="005C624C" w:rsidRPr="00463D0D" w:rsidRDefault="005C624C" w:rsidP="00E30CDF">
      <w:pPr>
        <w:pStyle w:val="ListParagraph"/>
        <w:numPr>
          <w:ilvl w:val="0"/>
          <w:numId w:val="2"/>
        </w:numPr>
      </w:pPr>
      <w:r w:rsidRPr="00463D0D">
        <w:t xml:space="preserve">Year at a glance – </w:t>
      </w:r>
      <w:hyperlink w:anchor="_Year_At_A" w:history="1">
        <w:r w:rsidRPr="009C50FD">
          <w:rPr>
            <w:rStyle w:val="Hyperlink"/>
          </w:rPr>
          <w:t>Page 2</w:t>
        </w:r>
      </w:hyperlink>
    </w:p>
    <w:p w14:paraId="5543996D" w14:textId="15B0305C" w:rsidR="005C624C" w:rsidRPr="00463D0D" w:rsidRDefault="005C624C" w:rsidP="00E30CDF">
      <w:pPr>
        <w:pStyle w:val="ListParagraph"/>
        <w:numPr>
          <w:ilvl w:val="0"/>
          <w:numId w:val="2"/>
        </w:numPr>
      </w:pPr>
      <w:r w:rsidRPr="00463D0D">
        <w:t>Chair’s report</w:t>
      </w:r>
      <w:r w:rsidRPr="00463D0D">
        <w:tab/>
        <w:t xml:space="preserve"> – </w:t>
      </w:r>
      <w:hyperlink w:anchor="_Chair’s_Report" w:history="1">
        <w:r w:rsidRPr="009C50FD">
          <w:rPr>
            <w:rStyle w:val="Hyperlink"/>
          </w:rPr>
          <w:t>Page 3</w:t>
        </w:r>
      </w:hyperlink>
    </w:p>
    <w:p w14:paraId="1D61C124" w14:textId="4A5E58CC" w:rsidR="005C624C" w:rsidRPr="00463D0D" w:rsidRDefault="005C624C" w:rsidP="00E30CDF">
      <w:pPr>
        <w:pStyle w:val="ListParagraph"/>
        <w:numPr>
          <w:ilvl w:val="0"/>
          <w:numId w:val="2"/>
        </w:numPr>
      </w:pPr>
      <w:r w:rsidRPr="00463D0D">
        <w:t xml:space="preserve">Ombudsman’s report – </w:t>
      </w:r>
      <w:hyperlink w:anchor="_Ombudsman’s_Report" w:history="1">
        <w:r w:rsidRPr="009C50FD">
          <w:rPr>
            <w:rStyle w:val="Hyperlink"/>
          </w:rPr>
          <w:t>Page 4</w:t>
        </w:r>
      </w:hyperlink>
    </w:p>
    <w:p w14:paraId="4A3B540D" w14:textId="67B52429" w:rsidR="005C624C" w:rsidRDefault="005C624C" w:rsidP="00E30CDF">
      <w:pPr>
        <w:pStyle w:val="ListParagraph"/>
        <w:numPr>
          <w:ilvl w:val="0"/>
          <w:numId w:val="2"/>
        </w:numPr>
      </w:pPr>
      <w:r>
        <w:t>Our</w:t>
      </w:r>
      <w:r w:rsidRPr="00463D0D">
        <w:t xml:space="preserve"> Board – </w:t>
      </w:r>
      <w:hyperlink w:anchor="_Our_Board" w:history="1">
        <w:r w:rsidRPr="009C50FD">
          <w:rPr>
            <w:rStyle w:val="Hyperlink"/>
          </w:rPr>
          <w:t>Page 6</w:t>
        </w:r>
      </w:hyperlink>
    </w:p>
    <w:p w14:paraId="6114459F" w14:textId="3796442E" w:rsidR="005C624C" w:rsidRDefault="005C624C" w:rsidP="00E30CDF">
      <w:pPr>
        <w:pStyle w:val="ListParagraph"/>
        <w:numPr>
          <w:ilvl w:val="0"/>
          <w:numId w:val="2"/>
        </w:numPr>
      </w:pPr>
      <w:r w:rsidRPr="00463D0D">
        <w:t xml:space="preserve">Scheme review – </w:t>
      </w:r>
      <w:hyperlink w:anchor="_Scheme_Review" w:history="1">
        <w:r w:rsidRPr="009C50FD">
          <w:rPr>
            <w:rStyle w:val="Hyperlink"/>
          </w:rPr>
          <w:t>Page 8</w:t>
        </w:r>
      </w:hyperlink>
    </w:p>
    <w:p w14:paraId="61BFC8DD" w14:textId="645D6A5E" w:rsidR="005C624C" w:rsidRPr="00463D0D" w:rsidRDefault="005C624C" w:rsidP="00E30CDF">
      <w:pPr>
        <w:pStyle w:val="ListParagraph"/>
        <w:numPr>
          <w:ilvl w:val="0"/>
          <w:numId w:val="2"/>
        </w:numPr>
      </w:pPr>
      <w:r w:rsidRPr="00A5132F">
        <w:t>COVID-19 and public transport</w:t>
      </w:r>
      <w:r>
        <w:t xml:space="preserve"> </w:t>
      </w:r>
      <w:r w:rsidRPr="00463D0D">
        <w:t xml:space="preserve">– </w:t>
      </w:r>
      <w:hyperlink w:anchor="_COVID-19_and_Public" w:history="1">
        <w:r w:rsidRPr="009C50FD">
          <w:rPr>
            <w:rStyle w:val="Hyperlink"/>
          </w:rPr>
          <w:t>Page 9</w:t>
        </w:r>
      </w:hyperlink>
    </w:p>
    <w:p w14:paraId="1589B9E7" w14:textId="1418BBF4" w:rsidR="005C624C" w:rsidRPr="00463D0D" w:rsidRDefault="005C624C" w:rsidP="00E30CDF">
      <w:pPr>
        <w:pStyle w:val="ListParagraph"/>
        <w:numPr>
          <w:ilvl w:val="0"/>
          <w:numId w:val="2"/>
        </w:numPr>
      </w:pPr>
      <w:r>
        <w:t>Complaints and i</w:t>
      </w:r>
      <w:r w:rsidRPr="00463D0D">
        <w:t xml:space="preserve">nvestigations – </w:t>
      </w:r>
      <w:hyperlink w:anchor="_Complaints_and_Investigations" w:history="1">
        <w:r w:rsidRPr="009C50FD">
          <w:rPr>
            <w:rStyle w:val="Hyperlink"/>
          </w:rPr>
          <w:t>Page 11</w:t>
        </w:r>
      </w:hyperlink>
    </w:p>
    <w:p w14:paraId="5FAD90CF" w14:textId="32671870" w:rsidR="005C624C" w:rsidRPr="00463D0D" w:rsidRDefault="005C624C" w:rsidP="00E30CDF">
      <w:pPr>
        <w:pStyle w:val="ListParagraph"/>
        <w:numPr>
          <w:ilvl w:val="0"/>
          <w:numId w:val="2"/>
        </w:numPr>
      </w:pPr>
      <w:r w:rsidRPr="00463D0D">
        <w:t xml:space="preserve">Systemic issues – </w:t>
      </w:r>
      <w:hyperlink w:anchor="_Systemic_Issues" w:history="1">
        <w:r w:rsidRPr="009C50FD">
          <w:rPr>
            <w:rStyle w:val="Hyperlink"/>
          </w:rPr>
          <w:t>Page 14</w:t>
        </w:r>
      </w:hyperlink>
    </w:p>
    <w:p w14:paraId="20993064" w14:textId="210929D0" w:rsidR="005C624C" w:rsidRDefault="005C624C" w:rsidP="00E30CDF">
      <w:pPr>
        <w:pStyle w:val="ListParagraph"/>
        <w:numPr>
          <w:ilvl w:val="0"/>
          <w:numId w:val="2"/>
        </w:numPr>
      </w:pPr>
      <w:r w:rsidRPr="00463D0D">
        <w:t xml:space="preserve">In the community – </w:t>
      </w:r>
      <w:hyperlink w:anchor="_In_the_community" w:history="1">
        <w:r w:rsidRPr="009C50FD">
          <w:rPr>
            <w:rStyle w:val="Hyperlink"/>
          </w:rPr>
          <w:t>Page 16</w:t>
        </w:r>
      </w:hyperlink>
    </w:p>
    <w:p w14:paraId="2FE221FA" w14:textId="2B1262C0" w:rsidR="005C624C" w:rsidRPr="00A5132F" w:rsidRDefault="005C624C" w:rsidP="00E30CDF">
      <w:pPr>
        <w:pStyle w:val="ListParagraph"/>
        <w:numPr>
          <w:ilvl w:val="0"/>
          <w:numId w:val="2"/>
        </w:numPr>
      </w:pPr>
      <w:r w:rsidRPr="00A5132F">
        <w:t>Accessibility and inclusion</w:t>
      </w:r>
      <w:r>
        <w:t xml:space="preserve"> – </w:t>
      </w:r>
      <w:hyperlink w:anchor="_Accessibility_and_Inclusion" w:history="1">
        <w:r w:rsidR="009C50FD" w:rsidRPr="009C50FD">
          <w:rPr>
            <w:rStyle w:val="Hyperlink"/>
          </w:rPr>
          <w:t xml:space="preserve">Page </w:t>
        </w:r>
        <w:r w:rsidRPr="009C50FD">
          <w:rPr>
            <w:rStyle w:val="Hyperlink"/>
          </w:rPr>
          <w:t>18</w:t>
        </w:r>
      </w:hyperlink>
    </w:p>
    <w:p w14:paraId="113E4FC3" w14:textId="2C16D450" w:rsidR="005C624C" w:rsidRPr="00A5132F" w:rsidRDefault="005C624C" w:rsidP="00E30CDF">
      <w:pPr>
        <w:pStyle w:val="ListParagraph"/>
        <w:numPr>
          <w:ilvl w:val="0"/>
          <w:numId w:val="2"/>
        </w:numPr>
      </w:pPr>
      <w:r w:rsidRPr="00A5132F">
        <w:t xml:space="preserve">Approaches with issues by member – </w:t>
      </w:r>
      <w:hyperlink w:anchor="_Approaches_and_complaints" w:history="1">
        <w:r w:rsidRPr="009C50FD">
          <w:rPr>
            <w:rStyle w:val="Hyperlink"/>
          </w:rPr>
          <w:t>P</w:t>
        </w:r>
        <w:r w:rsidRPr="009C50FD">
          <w:rPr>
            <w:rStyle w:val="Hyperlink"/>
          </w:rPr>
          <w:t>a</w:t>
        </w:r>
        <w:r w:rsidRPr="009C50FD">
          <w:rPr>
            <w:rStyle w:val="Hyperlink"/>
          </w:rPr>
          <w:t>ge 19</w:t>
        </w:r>
      </w:hyperlink>
    </w:p>
    <w:p w14:paraId="1E869A73" w14:textId="475B81E3" w:rsidR="005C624C" w:rsidRPr="00463D0D" w:rsidRDefault="005C624C" w:rsidP="00E30CDF">
      <w:pPr>
        <w:pStyle w:val="ListParagraph"/>
        <w:numPr>
          <w:ilvl w:val="0"/>
          <w:numId w:val="2"/>
        </w:numPr>
      </w:pPr>
      <w:r w:rsidRPr="00463D0D">
        <w:t xml:space="preserve">Summary financial report – </w:t>
      </w:r>
      <w:hyperlink w:anchor="_SUMMARY_FINANCIAL_REPORT" w:history="1">
        <w:r w:rsidRPr="009C50FD">
          <w:rPr>
            <w:rStyle w:val="Hyperlink"/>
          </w:rPr>
          <w:t>Page 24</w:t>
        </w:r>
      </w:hyperlink>
    </w:p>
    <w:p w14:paraId="2CDFE081" w14:textId="7ED502E0" w:rsidR="005C624C" w:rsidRPr="00463D0D" w:rsidRDefault="005C624C" w:rsidP="00E30CDF">
      <w:pPr>
        <w:pStyle w:val="ListParagraph"/>
        <w:numPr>
          <w:ilvl w:val="0"/>
          <w:numId w:val="2"/>
        </w:numPr>
      </w:pPr>
      <w:r w:rsidRPr="00463D0D">
        <w:t xml:space="preserve">Contact details – </w:t>
      </w:r>
      <w:hyperlink w:anchor="_CONTACT_US" w:history="1">
        <w:r w:rsidRPr="009C50FD">
          <w:rPr>
            <w:rStyle w:val="Hyperlink"/>
          </w:rPr>
          <w:t>Page 30</w:t>
        </w:r>
      </w:hyperlink>
    </w:p>
    <w:p w14:paraId="52E4D538" w14:textId="56EF37A3" w:rsidR="00DC368A" w:rsidRDefault="00FB263D" w:rsidP="00FE3E8A">
      <w:pPr>
        <w:pStyle w:val="Heading1"/>
      </w:pPr>
      <w:bookmarkStart w:id="1" w:name="_Year_At_A"/>
      <w:bookmarkEnd w:id="1"/>
      <w:r w:rsidRPr="00F34AA3">
        <w:lastRenderedPageBreak/>
        <w:t>Year At A Glance</w:t>
      </w:r>
    </w:p>
    <w:p w14:paraId="153985AC" w14:textId="101AE8FF" w:rsidR="001C0EE6" w:rsidRPr="00F34AA3" w:rsidRDefault="001F64A7" w:rsidP="00DC368A">
      <w:pPr>
        <w:pStyle w:val="Heading2"/>
      </w:pPr>
      <w:r w:rsidRPr="00F34AA3">
        <w:t xml:space="preserve">Year </w:t>
      </w:r>
      <w:r>
        <w:t>a</w:t>
      </w:r>
      <w:r w:rsidRPr="00F34AA3">
        <w:t xml:space="preserve">t </w:t>
      </w:r>
      <w:r>
        <w:t>a</w:t>
      </w:r>
      <w:r w:rsidRPr="00F34AA3">
        <w:t xml:space="preserve"> </w:t>
      </w:r>
      <w:r>
        <w:t>g</w:t>
      </w:r>
      <w:r w:rsidRPr="00F34AA3">
        <w:t>lance infographic shows:</w:t>
      </w:r>
    </w:p>
    <w:p w14:paraId="5AC9DB5E" w14:textId="66AAA9AD" w:rsidR="001C0EE6" w:rsidRDefault="001C0EE6" w:rsidP="009835A8">
      <w:pPr>
        <w:pStyle w:val="ListParagraph"/>
        <w:numPr>
          <w:ilvl w:val="0"/>
          <w:numId w:val="1"/>
        </w:numPr>
        <w:spacing w:after="120" w:afterAutospacing="0"/>
        <w:ind w:left="714" w:hanging="357"/>
      </w:pPr>
      <w:r w:rsidRPr="00A138D9">
        <w:t>3</w:t>
      </w:r>
      <w:r w:rsidR="00A5132F">
        <w:t>373</w:t>
      </w:r>
      <w:r w:rsidRPr="00A138D9">
        <w:t xml:space="preserve"> approaches to the PTO in</w:t>
      </w:r>
      <w:r>
        <w:t xml:space="preserve"> the</w:t>
      </w:r>
      <w:r w:rsidRPr="00A138D9">
        <w:t xml:space="preserve"> 20</w:t>
      </w:r>
      <w:r w:rsidR="00A5132F">
        <w:t>19</w:t>
      </w:r>
      <w:r w:rsidRPr="00A138D9">
        <w:t>/</w:t>
      </w:r>
      <w:r w:rsidR="00A5132F">
        <w:t>20</w:t>
      </w:r>
      <w:r w:rsidRPr="00A138D9">
        <w:t xml:space="preserve"> financial year. </w:t>
      </w:r>
      <w:r w:rsidR="00A5132F">
        <w:t>-234</w:t>
      </w:r>
      <w:r w:rsidRPr="00A138D9">
        <w:t xml:space="preserve"> Compared to</w:t>
      </w:r>
      <w:r>
        <w:t xml:space="preserve"> the</w:t>
      </w:r>
      <w:r w:rsidRPr="00A138D9">
        <w:t xml:space="preserve"> </w:t>
      </w:r>
      <w:r w:rsidR="00A5132F" w:rsidRPr="00A138D9">
        <w:t>201</w:t>
      </w:r>
      <w:r w:rsidR="00A5132F">
        <w:t>8</w:t>
      </w:r>
      <w:r w:rsidR="00A5132F" w:rsidRPr="00A138D9">
        <w:t>/1</w:t>
      </w:r>
      <w:r w:rsidR="00A5132F">
        <w:t xml:space="preserve">9 </w:t>
      </w:r>
      <w:r w:rsidRPr="00A138D9">
        <w:t>financial year.</w:t>
      </w:r>
    </w:p>
    <w:p w14:paraId="3B197544" w14:textId="0569BFDB" w:rsidR="00316DFD" w:rsidRDefault="00A5132F" w:rsidP="009835A8">
      <w:pPr>
        <w:pStyle w:val="ListParagraph"/>
        <w:numPr>
          <w:ilvl w:val="0"/>
          <w:numId w:val="1"/>
        </w:numPr>
        <w:spacing w:after="120" w:afterAutospacing="0"/>
        <w:ind w:left="714" w:hanging="357"/>
      </w:pPr>
      <w:r>
        <w:t>472</w:t>
      </w:r>
      <w:r w:rsidR="00316DFD" w:rsidRPr="00A138D9">
        <w:t xml:space="preserve"> </w:t>
      </w:r>
      <w:r w:rsidR="00316DFD">
        <w:t>i</w:t>
      </w:r>
      <w:r w:rsidR="00316DFD" w:rsidRPr="00A138D9">
        <w:t xml:space="preserve">nvestigations </w:t>
      </w:r>
      <w:r w:rsidR="00316DFD">
        <w:t>opened</w:t>
      </w:r>
      <w:r w:rsidR="00316DFD" w:rsidRPr="00A138D9">
        <w:t xml:space="preserve"> by the PTO in </w:t>
      </w:r>
      <w:r w:rsidR="00316DFD">
        <w:t>the</w:t>
      </w:r>
      <w:r w:rsidR="00316DFD" w:rsidRPr="00A138D9">
        <w:t xml:space="preserve"> </w:t>
      </w:r>
      <w:r w:rsidRPr="00A138D9">
        <w:t>20</w:t>
      </w:r>
      <w:r>
        <w:t>19</w:t>
      </w:r>
      <w:r w:rsidRPr="00A138D9">
        <w:t>/</w:t>
      </w:r>
      <w:r>
        <w:t>20</w:t>
      </w:r>
      <w:r w:rsidRPr="00A138D9">
        <w:t xml:space="preserve"> </w:t>
      </w:r>
      <w:r w:rsidR="00316DFD" w:rsidRPr="00A138D9">
        <w:t xml:space="preserve">financial year. </w:t>
      </w:r>
      <w:r w:rsidR="00316DFD">
        <w:t>-1</w:t>
      </w:r>
      <w:r>
        <w:t>07</w:t>
      </w:r>
      <w:r w:rsidR="00316DFD" w:rsidRPr="00A138D9">
        <w:t xml:space="preserve"> Compared to</w:t>
      </w:r>
      <w:r w:rsidR="00316DFD">
        <w:t xml:space="preserve"> the</w:t>
      </w:r>
      <w:r w:rsidR="00316DFD" w:rsidRPr="00A138D9">
        <w:t xml:space="preserve"> </w:t>
      </w:r>
      <w:r w:rsidRPr="00A138D9">
        <w:t>201</w:t>
      </w:r>
      <w:r>
        <w:t>8</w:t>
      </w:r>
      <w:r w:rsidRPr="00A138D9">
        <w:t>/1</w:t>
      </w:r>
      <w:r>
        <w:t xml:space="preserve">9 </w:t>
      </w:r>
      <w:r w:rsidR="00316DFD" w:rsidRPr="00A138D9">
        <w:t>financial year.</w:t>
      </w:r>
    </w:p>
    <w:p w14:paraId="2B6A3DBE" w14:textId="527063B0" w:rsidR="00316DFD" w:rsidRPr="00A138D9" w:rsidRDefault="00A5132F" w:rsidP="009835A8">
      <w:pPr>
        <w:pStyle w:val="ListParagraph"/>
        <w:numPr>
          <w:ilvl w:val="0"/>
          <w:numId w:val="1"/>
        </w:numPr>
        <w:spacing w:after="120" w:afterAutospacing="0"/>
        <w:ind w:left="714" w:hanging="357"/>
      </w:pPr>
      <w:r>
        <w:t>1956</w:t>
      </w:r>
      <w:r w:rsidR="00316DFD" w:rsidRPr="00A138D9">
        <w:t xml:space="preserve"> </w:t>
      </w:r>
      <w:r w:rsidR="00316DFD">
        <w:t>c</w:t>
      </w:r>
      <w:r w:rsidR="00316DFD" w:rsidRPr="00A138D9">
        <w:t xml:space="preserve">omplaints </w:t>
      </w:r>
      <w:r w:rsidR="004A08C9">
        <w:t>r</w:t>
      </w:r>
      <w:r w:rsidR="00316DFD" w:rsidRPr="00A138D9">
        <w:t xml:space="preserve">eceived by the PTO in </w:t>
      </w:r>
      <w:r w:rsidR="00316DFD">
        <w:t>the</w:t>
      </w:r>
      <w:r w:rsidR="00316DFD" w:rsidRPr="00A138D9">
        <w:t xml:space="preserve"> </w:t>
      </w:r>
      <w:r w:rsidRPr="00A138D9">
        <w:t>20</w:t>
      </w:r>
      <w:r>
        <w:t>19</w:t>
      </w:r>
      <w:r w:rsidRPr="00A138D9">
        <w:t>/</w:t>
      </w:r>
      <w:r>
        <w:t>20</w:t>
      </w:r>
      <w:r w:rsidRPr="00A138D9">
        <w:t xml:space="preserve"> </w:t>
      </w:r>
      <w:r w:rsidR="00316DFD" w:rsidRPr="00A138D9">
        <w:t xml:space="preserve">financial year. </w:t>
      </w:r>
      <w:r>
        <w:t>-245</w:t>
      </w:r>
      <w:r w:rsidR="00316DFD" w:rsidRPr="00A138D9">
        <w:t>Compared to</w:t>
      </w:r>
      <w:r w:rsidR="00316DFD">
        <w:t xml:space="preserve"> the</w:t>
      </w:r>
      <w:r w:rsidR="00316DFD" w:rsidRPr="00A138D9">
        <w:t xml:space="preserve"> </w:t>
      </w:r>
      <w:r w:rsidRPr="00A138D9">
        <w:t>201</w:t>
      </w:r>
      <w:r>
        <w:t>8</w:t>
      </w:r>
      <w:r w:rsidRPr="00A138D9">
        <w:t>/1</w:t>
      </w:r>
      <w:r>
        <w:t xml:space="preserve">9 </w:t>
      </w:r>
      <w:r w:rsidR="00316DFD" w:rsidRPr="00A138D9">
        <w:t>financial year.</w:t>
      </w:r>
    </w:p>
    <w:p w14:paraId="40A675BB" w14:textId="2C168620" w:rsidR="00316DFD" w:rsidRPr="00A138D9" w:rsidRDefault="00A5132F" w:rsidP="009835A8">
      <w:pPr>
        <w:pStyle w:val="ListParagraph"/>
        <w:numPr>
          <w:ilvl w:val="0"/>
          <w:numId w:val="1"/>
        </w:numPr>
        <w:spacing w:after="120" w:afterAutospacing="0"/>
        <w:ind w:left="714" w:hanging="357"/>
      </w:pPr>
      <w:r>
        <w:t>595</w:t>
      </w:r>
      <w:r w:rsidR="00316DFD" w:rsidRPr="00A138D9">
        <w:t xml:space="preserve"> </w:t>
      </w:r>
      <w:r w:rsidR="00316DFD">
        <w:t>enquiries about members received</w:t>
      </w:r>
      <w:r w:rsidR="00316DFD" w:rsidRPr="00A138D9">
        <w:t xml:space="preserve"> by the PTO in </w:t>
      </w:r>
      <w:r w:rsidR="00316DFD">
        <w:t>the</w:t>
      </w:r>
      <w:r w:rsidR="00316DFD" w:rsidRPr="00A138D9">
        <w:t xml:space="preserve"> </w:t>
      </w:r>
      <w:r w:rsidRPr="00A138D9">
        <w:t>20</w:t>
      </w:r>
      <w:r>
        <w:t>19</w:t>
      </w:r>
      <w:r w:rsidRPr="00A138D9">
        <w:t>/</w:t>
      </w:r>
      <w:r>
        <w:t>20</w:t>
      </w:r>
      <w:r w:rsidRPr="00A138D9">
        <w:t xml:space="preserve"> </w:t>
      </w:r>
      <w:r w:rsidR="00316DFD" w:rsidRPr="00A138D9">
        <w:t xml:space="preserve">financial year. </w:t>
      </w:r>
      <w:r w:rsidR="00316DFD">
        <w:t>+</w:t>
      </w:r>
      <w:r>
        <w:t>248</w:t>
      </w:r>
      <w:r w:rsidR="00316DFD" w:rsidRPr="00A138D9">
        <w:t xml:space="preserve"> Compared to</w:t>
      </w:r>
      <w:r w:rsidR="00316DFD">
        <w:t xml:space="preserve"> the</w:t>
      </w:r>
      <w:r w:rsidR="00316DFD" w:rsidRPr="00A138D9">
        <w:t xml:space="preserve"> </w:t>
      </w:r>
      <w:r w:rsidRPr="00A138D9">
        <w:t>201</w:t>
      </w:r>
      <w:r>
        <w:t>8</w:t>
      </w:r>
      <w:r w:rsidRPr="00A138D9">
        <w:t>/1</w:t>
      </w:r>
      <w:r>
        <w:t xml:space="preserve">9 </w:t>
      </w:r>
      <w:r w:rsidR="00316DFD" w:rsidRPr="00A138D9">
        <w:t>financial year.</w:t>
      </w:r>
    </w:p>
    <w:p w14:paraId="3B16D97D" w14:textId="3ADB6556" w:rsidR="001C0EE6" w:rsidRPr="00A138D9" w:rsidRDefault="00A5132F" w:rsidP="009835A8">
      <w:pPr>
        <w:pStyle w:val="ListParagraph"/>
        <w:numPr>
          <w:ilvl w:val="0"/>
          <w:numId w:val="1"/>
        </w:numPr>
        <w:spacing w:after="120" w:afterAutospacing="0"/>
        <w:ind w:left="714" w:hanging="357"/>
      </w:pPr>
      <w:r>
        <w:t>350</w:t>
      </w:r>
      <w:r w:rsidR="00316DFD" w:rsidRPr="00A138D9">
        <w:t xml:space="preserve"> Approaches </w:t>
      </w:r>
      <w:r w:rsidR="004A08C9">
        <w:t>r</w:t>
      </w:r>
      <w:r w:rsidR="00316DFD" w:rsidRPr="00A138D9">
        <w:t xml:space="preserve">elated to non-members received by the PTO in </w:t>
      </w:r>
      <w:r w:rsidR="00316DFD">
        <w:t>the</w:t>
      </w:r>
      <w:r w:rsidR="00316DFD" w:rsidRPr="00A138D9">
        <w:t xml:space="preserve"> </w:t>
      </w:r>
      <w:r w:rsidRPr="00A138D9">
        <w:t>20</w:t>
      </w:r>
      <w:r>
        <w:t>19</w:t>
      </w:r>
      <w:r w:rsidRPr="00A138D9">
        <w:t>/</w:t>
      </w:r>
      <w:r>
        <w:t>20</w:t>
      </w:r>
      <w:r w:rsidRPr="00A138D9">
        <w:t xml:space="preserve"> </w:t>
      </w:r>
      <w:r w:rsidR="00316DFD" w:rsidRPr="00A138D9">
        <w:t xml:space="preserve">financial year. </w:t>
      </w:r>
      <w:r>
        <w:t>-130</w:t>
      </w:r>
      <w:r w:rsidR="00316DFD" w:rsidRPr="00A138D9">
        <w:t xml:space="preserve"> Compared to</w:t>
      </w:r>
      <w:r w:rsidR="00316DFD">
        <w:t xml:space="preserve"> the</w:t>
      </w:r>
      <w:r w:rsidR="00316DFD" w:rsidRPr="00A138D9">
        <w:t xml:space="preserve"> </w:t>
      </w:r>
      <w:r w:rsidRPr="00A138D9">
        <w:t>201</w:t>
      </w:r>
      <w:r>
        <w:t>8</w:t>
      </w:r>
      <w:r w:rsidRPr="00A138D9">
        <w:t>/1</w:t>
      </w:r>
      <w:r>
        <w:t xml:space="preserve">9 </w:t>
      </w:r>
      <w:r w:rsidR="00316DFD" w:rsidRPr="00A138D9">
        <w:t>financial year.</w:t>
      </w:r>
    </w:p>
    <w:p w14:paraId="2CB5B83F" w14:textId="73A51DC3" w:rsidR="001C0EE6" w:rsidRPr="00A138D9" w:rsidRDefault="00A5132F" w:rsidP="009835A8">
      <w:pPr>
        <w:pStyle w:val="ListParagraph"/>
        <w:numPr>
          <w:ilvl w:val="0"/>
          <w:numId w:val="1"/>
        </w:numPr>
        <w:spacing w:after="120" w:afterAutospacing="0"/>
        <w:ind w:left="714" w:hanging="357"/>
      </w:pPr>
      <w:r>
        <w:t>6340</w:t>
      </w:r>
      <w:r w:rsidR="001C0EE6" w:rsidRPr="00A138D9">
        <w:t xml:space="preserve"> </w:t>
      </w:r>
      <w:r w:rsidR="00316DFD">
        <w:t xml:space="preserve">issues within approaches received </w:t>
      </w:r>
      <w:r w:rsidR="001C0EE6" w:rsidRPr="00A138D9">
        <w:t xml:space="preserve">by the PTO in </w:t>
      </w:r>
      <w:r w:rsidR="001C0EE6">
        <w:t>the</w:t>
      </w:r>
      <w:r w:rsidR="001C0EE6" w:rsidRPr="00A138D9">
        <w:t xml:space="preserve"> </w:t>
      </w:r>
      <w:r w:rsidRPr="00A138D9">
        <w:t>20</w:t>
      </w:r>
      <w:r>
        <w:t>19</w:t>
      </w:r>
      <w:r w:rsidRPr="00A138D9">
        <w:t>/</w:t>
      </w:r>
      <w:r>
        <w:t>20</w:t>
      </w:r>
      <w:r w:rsidRPr="00A138D9">
        <w:t xml:space="preserve"> </w:t>
      </w:r>
      <w:r w:rsidR="001C0EE6" w:rsidRPr="00A138D9">
        <w:t xml:space="preserve">financial year. </w:t>
      </w:r>
      <w:r>
        <w:t>-624</w:t>
      </w:r>
      <w:r w:rsidR="001C0EE6" w:rsidRPr="00A138D9">
        <w:t xml:space="preserve"> Compared to</w:t>
      </w:r>
      <w:r w:rsidR="001C0EE6">
        <w:t xml:space="preserve"> the</w:t>
      </w:r>
      <w:r w:rsidR="001C0EE6" w:rsidRPr="00A138D9">
        <w:t xml:space="preserve"> </w:t>
      </w:r>
      <w:r w:rsidRPr="00A138D9">
        <w:t>201</w:t>
      </w:r>
      <w:r>
        <w:t>8</w:t>
      </w:r>
      <w:r w:rsidRPr="00A138D9">
        <w:t>/1</w:t>
      </w:r>
      <w:r>
        <w:t xml:space="preserve">9 </w:t>
      </w:r>
      <w:r w:rsidR="001C0EE6" w:rsidRPr="00A138D9">
        <w:t>financial year.</w:t>
      </w:r>
    </w:p>
    <w:p w14:paraId="4035E373" w14:textId="16958DA2" w:rsidR="004541A2" w:rsidRDefault="001F64A7" w:rsidP="00A5132F">
      <w:pPr>
        <w:pStyle w:val="Heading2"/>
      </w:pPr>
      <w:r>
        <w:t>Approaches per month line graph shows</w:t>
      </w:r>
      <w:r w:rsidR="00A5132F">
        <w:t>:</w:t>
      </w:r>
    </w:p>
    <w:p w14:paraId="68E97126" w14:textId="77777777" w:rsidR="00AC40FD" w:rsidRDefault="00073986" w:rsidP="005F35B0">
      <w:r>
        <w:t xml:space="preserve">318 </w:t>
      </w:r>
      <w:r w:rsidR="00B03655">
        <w:t>approaches in Jul</w:t>
      </w:r>
      <w:r w:rsidR="00AC40FD">
        <w:t>y</w:t>
      </w:r>
      <w:r w:rsidR="00B03655">
        <w:t xml:space="preserve"> 2019, 327</w:t>
      </w:r>
      <w:r w:rsidR="00B03655" w:rsidRPr="00B03655">
        <w:t xml:space="preserve"> </w:t>
      </w:r>
      <w:r w:rsidR="00B03655">
        <w:t>approaches in Aug</w:t>
      </w:r>
      <w:r w:rsidR="00AC40FD">
        <w:t>ust</w:t>
      </w:r>
      <w:r w:rsidR="00B03655">
        <w:t xml:space="preserve"> 2019, 320</w:t>
      </w:r>
      <w:r w:rsidR="00B03655" w:rsidRPr="00B03655">
        <w:t xml:space="preserve"> </w:t>
      </w:r>
      <w:r w:rsidR="00B03655">
        <w:t>approaches in Sep</w:t>
      </w:r>
      <w:r w:rsidR="00AC40FD">
        <w:t>tember</w:t>
      </w:r>
      <w:r w:rsidR="00B03655">
        <w:t xml:space="preserve"> 2019, 369 approaches in Oct</w:t>
      </w:r>
      <w:r w:rsidR="00AC40FD">
        <w:t>ober</w:t>
      </w:r>
      <w:r w:rsidR="00B03655">
        <w:t xml:space="preserve"> 2019, 295 approaches in Nov</w:t>
      </w:r>
      <w:r w:rsidR="00AC40FD">
        <w:t>ember</w:t>
      </w:r>
      <w:r w:rsidR="00B03655">
        <w:t xml:space="preserve"> 2019, 252</w:t>
      </w:r>
      <w:r w:rsidR="00B03655" w:rsidRPr="00B03655">
        <w:t xml:space="preserve"> </w:t>
      </w:r>
      <w:r w:rsidR="00B03655">
        <w:t>approaches in Dec</w:t>
      </w:r>
      <w:r w:rsidR="00AC40FD">
        <w:t>ember</w:t>
      </w:r>
      <w:r w:rsidR="00B03655">
        <w:t xml:space="preserve"> 2019, 360</w:t>
      </w:r>
      <w:r w:rsidR="00B03655" w:rsidRPr="00B03655">
        <w:t xml:space="preserve"> </w:t>
      </w:r>
      <w:r w:rsidR="00B03655">
        <w:t>approaches in Jan</w:t>
      </w:r>
      <w:r w:rsidR="00AC40FD">
        <w:t>uary</w:t>
      </w:r>
      <w:r w:rsidR="00B03655">
        <w:t xml:space="preserve"> 2020, </w:t>
      </w:r>
      <w:r w:rsidR="00711946">
        <w:t>348 approaches in Feb</w:t>
      </w:r>
      <w:r w:rsidR="00AC40FD">
        <w:t>ruary</w:t>
      </w:r>
      <w:r w:rsidR="00711946">
        <w:t xml:space="preserve"> 2020, 289</w:t>
      </w:r>
      <w:r w:rsidR="00711946" w:rsidRPr="00711946">
        <w:t xml:space="preserve"> </w:t>
      </w:r>
      <w:r w:rsidR="00711946">
        <w:t>approaches in Mar</w:t>
      </w:r>
      <w:r w:rsidR="00AC40FD">
        <w:t>ch</w:t>
      </w:r>
      <w:r w:rsidR="00711946">
        <w:t xml:space="preserve"> 2020, 158</w:t>
      </w:r>
      <w:r w:rsidR="00711946" w:rsidRPr="00711946">
        <w:t xml:space="preserve"> </w:t>
      </w:r>
      <w:r w:rsidR="00711946">
        <w:t>approaches in Apr</w:t>
      </w:r>
      <w:r w:rsidR="00AC40FD">
        <w:t>il</w:t>
      </w:r>
      <w:r w:rsidR="00711946">
        <w:t xml:space="preserve"> 2020, 158</w:t>
      </w:r>
      <w:r w:rsidR="00711946" w:rsidRPr="00711946">
        <w:t xml:space="preserve"> </w:t>
      </w:r>
      <w:r w:rsidR="00711946">
        <w:t>approaches in May 2020, 179</w:t>
      </w:r>
      <w:r w:rsidR="00711946" w:rsidRPr="00711946">
        <w:t xml:space="preserve"> </w:t>
      </w:r>
      <w:r w:rsidR="00711946">
        <w:t>approaches in Jun</w:t>
      </w:r>
      <w:r w:rsidR="00AC40FD">
        <w:t>e</w:t>
      </w:r>
      <w:r w:rsidR="00711946">
        <w:t xml:space="preserve"> 2020.</w:t>
      </w:r>
      <w:r w:rsidR="00AC40FD">
        <w:t xml:space="preserve"> </w:t>
      </w:r>
    </w:p>
    <w:p w14:paraId="14244EF5" w14:textId="5D859672" w:rsidR="00A5132F" w:rsidRDefault="00AC40FD" w:rsidP="005F35B0">
      <w:r>
        <w:t>A shaded section on the line graph shows the months that the COVID-19 State of Emergency was in effect during the 2019/20 financial year – March to June 2020.</w:t>
      </w:r>
    </w:p>
    <w:p w14:paraId="3EECCFCA" w14:textId="4BAFB1C2" w:rsidR="004541A2" w:rsidRPr="00F34AA3" w:rsidRDefault="001F64A7" w:rsidP="001C0EE6">
      <w:pPr>
        <w:pStyle w:val="Heading2"/>
      </w:pPr>
      <w:r>
        <w:t>Common issues within approaches infographic shows:</w:t>
      </w:r>
    </w:p>
    <w:p w14:paraId="39A0722E" w14:textId="0608C4F3" w:rsidR="004541A2" w:rsidRPr="002E10A0" w:rsidRDefault="002E10A0" w:rsidP="00E30CDF">
      <w:pPr>
        <w:pStyle w:val="Heading3"/>
        <w:numPr>
          <w:ilvl w:val="0"/>
          <w:numId w:val="27"/>
        </w:numPr>
        <w:rPr>
          <w:b w:val="0"/>
          <w:bCs/>
        </w:rPr>
      </w:pPr>
      <w:r w:rsidRPr="002E10A0">
        <w:rPr>
          <w:b w:val="0"/>
          <w:bCs/>
        </w:rPr>
        <w:t xml:space="preserve">1701 </w:t>
      </w:r>
      <w:r w:rsidR="00DC368A" w:rsidRPr="002E10A0">
        <w:rPr>
          <w:b w:val="0"/>
          <w:bCs/>
        </w:rPr>
        <w:t>Staff</w:t>
      </w:r>
      <w:r w:rsidRPr="002E10A0">
        <w:rPr>
          <w:b w:val="0"/>
          <w:bCs/>
        </w:rPr>
        <w:t xml:space="preserve"> </w:t>
      </w:r>
      <w:r w:rsidR="004541A2" w:rsidRPr="002E10A0">
        <w:rPr>
          <w:b w:val="0"/>
          <w:bCs/>
        </w:rPr>
        <w:t>issues</w:t>
      </w:r>
      <w:r w:rsidR="00216D13" w:rsidRPr="002E10A0">
        <w:rPr>
          <w:b w:val="0"/>
          <w:bCs/>
        </w:rPr>
        <w:t xml:space="preserve">. -334 </w:t>
      </w:r>
      <w:r w:rsidR="004541A2" w:rsidRPr="002E10A0">
        <w:rPr>
          <w:b w:val="0"/>
          <w:bCs/>
        </w:rPr>
        <w:t>compared to</w:t>
      </w:r>
      <w:r w:rsidR="00D840A8" w:rsidRPr="002E10A0">
        <w:rPr>
          <w:b w:val="0"/>
          <w:bCs/>
        </w:rPr>
        <w:t xml:space="preserve"> </w:t>
      </w:r>
      <w:r w:rsidR="004541A2" w:rsidRPr="002E10A0">
        <w:rPr>
          <w:b w:val="0"/>
          <w:bCs/>
        </w:rPr>
        <w:t>201</w:t>
      </w:r>
      <w:r w:rsidR="00216D13" w:rsidRPr="002E10A0">
        <w:rPr>
          <w:b w:val="0"/>
          <w:bCs/>
        </w:rPr>
        <w:t xml:space="preserve">8/19 </w:t>
      </w:r>
      <w:r w:rsidR="004541A2" w:rsidRPr="002E10A0">
        <w:rPr>
          <w:b w:val="0"/>
          <w:bCs/>
        </w:rPr>
        <w:t>financial year.</w:t>
      </w:r>
    </w:p>
    <w:p w14:paraId="7888D6D1" w14:textId="240F7876" w:rsidR="00D840A8" w:rsidRPr="00A138D9" w:rsidRDefault="00216D13" w:rsidP="00E30CDF">
      <w:pPr>
        <w:pStyle w:val="ListParagraph"/>
        <w:numPr>
          <w:ilvl w:val="0"/>
          <w:numId w:val="27"/>
        </w:numPr>
      </w:pPr>
      <w:r>
        <w:t>1592</w:t>
      </w:r>
      <w:r w:rsidR="00D840A8" w:rsidRPr="00A138D9">
        <w:t xml:space="preserve"> </w:t>
      </w:r>
      <w:r w:rsidR="002E10A0" w:rsidRPr="00D60B42">
        <w:t>Service</w:t>
      </w:r>
      <w:r w:rsidR="002E10A0" w:rsidRPr="00F34AA3">
        <w:t xml:space="preserve"> </w:t>
      </w:r>
      <w:r w:rsidR="002E10A0">
        <w:t>d</w:t>
      </w:r>
      <w:r w:rsidR="002E10A0" w:rsidRPr="00F34AA3">
        <w:t>elivery</w:t>
      </w:r>
      <w:r w:rsidR="002E10A0" w:rsidRPr="00A138D9">
        <w:t xml:space="preserve"> </w:t>
      </w:r>
      <w:r w:rsidR="00D840A8" w:rsidRPr="00A138D9">
        <w:t>issues</w:t>
      </w:r>
      <w:r>
        <w:t xml:space="preserve">. -74 </w:t>
      </w:r>
      <w:r w:rsidRPr="00A138D9">
        <w:t>compared to</w:t>
      </w:r>
      <w:r>
        <w:t xml:space="preserve"> </w:t>
      </w:r>
      <w:r w:rsidRPr="00A138D9">
        <w:t>201</w:t>
      </w:r>
      <w:r>
        <w:t xml:space="preserve">8/19 </w:t>
      </w:r>
      <w:r w:rsidRPr="00A138D9">
        <w:t>financial year.</w:t>
      </w:r>
    </w:p>
    <w:p w14:paraId="34A60244" w14:textId="477E442D" w:rsidR="00D840A8" w:rsidRPr="00A138D9" w:rsidRDefault="00216D13" w:rsidP="00E30CDF">
      <w:pPr>
        <w:pStyle w:val="ListParagraph"/>
        <w:numPr>
          <w:ilvl w:val="0"/>
          <w:numId w:val="27"/>
        </w:numPr>
      </w:pPr>
      <w:r>
        <w:t>1200</w:t>
      </w:r>
      <w:r w:rsidR="00D840A8" w:rsidRPr="00A138D9">
        <w:t xml:space="preserve"> </w:t>
      </w:r>
      <w:r w:rsidR="002E10A0">
        <w:t>Ticketing</w:t>
      </w:r>
      <w:r w:rsidR="002E10A0" w:rsidRPr="00A138D9">
        <w:t xml:space="preserve"> </w:t>
      </w:r>
      <w:r w:rsidR="00D840A8" w:rsidRPr="00A138D9">
        <w:t>issues</w:t>
      </w:r>
      <w:r>
        <w:t>. -186</w:t>
      </w:r>
      <w:r w:rsidRPr="00216D13">
        <w:t xml:space="preserve"> </w:t>
      </w:r>
      <w:r w:rsidRPr="00A138D9">
        <w:t>compared to</w:t>
      </w:r>
      <w:r>
        <w:t xml:space="preserve"> </w:t>
      </w:r>
      <w:r w:rsidRPr="00A138D9">
        <w:t>201</w:t>
      </w:r>
      <w:r>
        <w:t xml:space="preserve">8/19 </w:t>
      </w:r>
      <w:r w:rsidRPr="00A138D9">
        <w:t>financial year.</w:t>
      </w:r>
    </w:p>
    <w:p w14:paraId="5FB1CBBC" w14:textId="400D1E5C" w:rsidR="00D840A8" w:rsidRPr="00A138D9" w:rsidRDefault="00216D13" w:rsidP="00E30CDF">
      <w:pPr>
        <w:pStyle w:val="ListParagraph"/>
        <w:numPr>
          <w:ilvl w:val="0"/>
          <w:numId w:val="27"/>
        </w:numPr>
      </w:pPr>
      <w:r>
        <w:t>631</w:t>
      </w:r>
      <w:r w:rsidR="002E10A0" w:rsidRPr="002E10A0">
        <w:t xml:space="preserve"> </w:t>
      </w:r>
      <w:r w:rsidR="002E10A0">
        <w:t>Land and i</w:t>
      </w:r>
      <w:r w:rsidR="002E10A0" w:rsidRPr="00F34AA3">
        <w:t>nfrastructure</w:t>
      </w:r>
      <w:r w:rsidR="002E10A0" w:rsidRPr="00A138D9">
        <w:t xml:space="preserve"> </w:t>
      </w:r>
      <w:r w:rsidR="00D840A8" w:rsidRPr="00A138D9">
        <w:t>issues</w:t>
      </w:r>
      <w:r>
        <w:t xml:space="preserve">. -28 </w:t>
      </w:r>
      <w:r w:rsidRPr="00A138D9">
        <w:t>compared to</w:t>
      </w:r>
      <w:r>
        <w:t xml:space="preserve"> </w:t>
      </w:r>
      <w:r w:rsidRPr="00A138D9">
        <w:t>201</w:t>
      </w:r>
      <w:r>
        <w:t xml:space="preserve">8/19 </w:t>
      </w:r>
      <w:r w:rsidRPr="00A138D9">
        <w:t>financial year.</w:t>
      </w:r>
    </w:p>
    <w:p w14:paraId="6010BF64" w14:textId="0884D43A" w:rsidR="00DC368A" w:rsidRDefault="00216D13" w:rsidP="00E30CDF">
      <w:pPr>
        <w:pStyle w:val="ListParagraph"/>
        <w:numPr>
          <w:ilvl w:val="0"/>
          <w:numId w:val="27"/>
        </w:numPr>
      </w:pPr>
      <w:r>
        <w:t>310</w:t>
      </w:r>
      <w:r w:rsidR="00D840A8" w:rsidRPr="00A138D9">
        <w:t xml:space="preserve"> </w:t>
      </w:r>
      <w:r w:rsidR="002E10A0">
        <w:t>Trams, trains and buses</w:t>
      </w:r>
      <w:r w:rsidR="002E10A0" w:rsidRPr="00A138D9">
        <w:t xml:space="preserve"> </w:t>
      </w:r>
      <w:r w:rsidR="00D840A8" w:rsidRPr="00A138D9">
        <w:t>issues.</w:t>
      </w:r>
      <w:r>
        <w:t xml:space="preserve"> -49 </w:t>
      </w:r>
      <w:r w:rsidRPr="00A138D9">
        <w:t>compared to</w:t>
      </w:r>
      <w:r>
        <w:t xml:space="preserve"> </w:t>
      </w:r>
      <w:r w:rsidRPr="00A138D9">
        <w:t>201</w:t>
      </w:r>
      <w:r>
        <w:t xml:space="preserve">8/19 </w:t>
      </w:r>
      <w:r w:rsidRPr="00A138D9">
        <w:t>financial year</w:t>
      </w:r>
      <w:r w:rsidR="002E10A0">
        <w:t>.</w:t>
      </w:r>
    </w:p>
    <w:p w14:paraId="420F8871" w14:textId="37AFC9D6" w:rsidR="002E10A0" w:rsidRPr="00DC368A" w:rsidRDefault="002E10A0" w:rsidP="00E30CDF">
      <w:pPr>
        <w:pStyle w:val="ListParagraph"/>
        <w:numPr>
          <w:ilvl w:val="0"/>
          <w:numId w:val="27"/>
        </w:numPr>
      </w:pPr>
      <w:r>
        <w:t xml:space="preserve">215 COVID-19 issues. New issue, read more on </w:t>
      </w:r>
      <w:hyperlink w:anchor="_COVID-19_and_Public" w:history="1">
        <w:r w:rsidRPr="009C50FD">
          <w:rPr>
            <w:rStyle w:val="Hyperlink"/>
          </w:rPr>
          <w:t>page</w:t>
        </w:r>
        <w:r w:rsidR="009C50FD" w:rsidRPr="009C50FD">
          <w:rPr>
            <w:rStyle w:val="Hyperlink"/>
          </w:rPr>
          <w:t xml:space="preserve"> 9</w:t>
        </w:r>
      </w:hyperlink>
    </w:p>
    <w:p w14:paraId="6D7F5BD8" w14:textId="65264729" w:rsidR="00DC368A" w:rsidRDefault="002E10A0" w:rsidP="00E30CDF">
      <w:pPr>
        <w:pStyle w:val="ListParagraph"/>
        <w:numPr>
          <w:ilvl w:val="0"/>
          <w:numId w:val="27"/>
        </w:numPr>
      </w:pPr>
      <w:r>
        <w:t xml:space="preserve">214 </w:t>
      </w:r>
      <w:r w:rsidRPr="00F34AA3">
        <w:t xml:space="preserve">Infringement </w:t>
      </w:r>
      <w:r>
        <w:t>n</w:t>
      </w:r>
      <w:r w:rsidRPr="00F34AA3">
        <w:t>otices</w:t>
      </w:r>
      <w:r w:rsidR="00D840A8" w:rsidRPr="00A138D9">
        <w:t xml:space="preserve"> issues</w:t>
      </w:r>
      <w:r>
        <w:t xml:space="preserve">. -114 </w:t>
      </w:r>
      <w:r w:rsidRPr="00A138D9">
        <w:t>compared to</w:t>
      </w:r>
      <w:r>
        <w:t xml:space="preserve"> </w:t>
      </w:r>
      <w:r w:rsidRPr="00A138D9">
        <w:t>201</w:t>
      </w:r>
      <w:r>
        <w:t xml:space="preserve">8/19 </w:t>
      </w:r>
      <w:r w:rsidRPr="00A138D9">
        <w:t>financial year</w:t>
      </w:r>
      <w:r>
        <w:t>.</w:t>
      </w:r>
    </w:p>
    <w:p w14:paraId="278EF085" w14:textId="6ACE70DC" w:rsidR="00D840A8" w:rsidRPr="00A138D9" w:rsidRDefault="002E10A0" w:rsidP="00E30CDF">
      <w:pPr>
        <w:pStyle w:val="ListParagraph"/>
        <w:numPr>
          <w:ilvl w:val="0"/>
          <w:numId w:val="27"/>
        </w:numPr>
      </w:pPr>
      <w:r>
        <w:t>122</w:t>
      </w:r>
      <w:r w:rsidRPr="002E10A0">
        <w:t xml:space="preserve"> </w:t>
      </w:r>
      <w:r>
        <w:t>Accessibility</w:t>
      </w:r>
      <w:r w:rsidR="00D840A8" w:rsidRPr="00A138D9">
        <w:t xml:space="preserve"> issues</w:t>
      </w:r>
      <w:r w:rsidR="00D840A8">
        <w:t xml:space="preserve">. </w:t>
      </w:r>
      <w:r>
        <w:t xml:space="preserve">-72 </w:t>
      </w:r>
      <w:r w:rsidRPr="00A138D9">
        <w:t>compared to</w:t>
      </w:r>
      <w:r>
        <w:t xml:space="preserve"> </w:t>
      </w:r>
      <w:r w:rsidRPr="00A138D9">
        <w:t>201</w:t>
      </w:r>
      <w:r>
        <w:t xml:space="preserve">8/19 </w:t>
      </w:r>
      <w:r w:rsidRPr="00A138D9">
        <w:t>financial year</w:t>
      </w:r>
      <w:r>
        <w:t>.</w:t>
      </w:r>
    </w:p>
    <w:p w14:paraId="18C6C672" w14:textId="77777777" w:rsidR="00125D20" w:rsidRPr="00A138D9" w:rsidRDefault="00125D20" w:rsidP="005F35B0"/>
    <w:p w14:paraId="18993FDA" w14:textId="77777777" w:rsidR="00841448" w:rsidRDefault="00841448" w:rsidP="005F35B0">
      <w:r>
        <w:br w:type="page"/>
      </w:r>
    </w:p>
    <w:p w14:paraId="4A170EEF" w14:textId="5D994B8B" w:rsidR="006A2F0B" w:rsidRPr="00F34AA3" w:rsidRDefault="001F64A7" w:rsidP="001C0EE6">
      <w:pPr>
        <w:pStyle w:val="Heading1"/>
      </w:pPr>
      <w:bookmarkStart w:id="2" w:name="_Chair’s_Report"/>
      <w:bookmarkEnd w:id="2"/>
      <w:r w:rsidRPr="00F34AA3">
        <w:lastRenderedPageBreak/>
        <w:t xml:space="preserve">Chair’s Report </w:t>
      </w:r>
    </w:p>
    <w:p w14:paraId="2D153404" w14:textId="77777777" w:rsidR="007D1960" w:rsidRDefault="007D1960" w:rsidP="007D1960">
      <w:r>
        <w:t>I am pleased to present the 2019/20 Annual Report as Chair of the PTO in one of the most extraordinary and challenging years in our 16 years of operation.</w:t>
      </w:r>
    </w:p>
    <w:p w14:paraId="2179502D" w14:textId="77777777" w:rsidR="007D1960" w:rsidRDefault="007D1960" w:rsidP="007D1960">
      <w:r>
        <w:t xml:space="preserve">I start by acknowledging the incredibly difficult situation our members find themselves in during this COVID-19 pandemic, with unprecedented low passenger numbers on public transport in Victoria. This has in turn, affected our operations at the PTO so, like many businesses in Victoria, we have made some significant changes to the way we operate and manage our Scheme. </w:t>
      </w:r>
    </w:p>
    <w:p w14:paraId="46059634" w14:textId="115665A2" w:rsidR="007D1960" w:rsidRDefault="007D1960" w:rsidP="007D1960">
      <w:r>
        <w:t>This year saw the end of an era for Ombudsman Treasure Jennings who resigned after five and a half years at the PTO to take up two exciting and challenging roles as the Mental Health Complaints Commissioner and Disability Services Commissioner for Victoria. Throughout her time Treasure helped the PTO mature and grow, developing constructive relationships with our members, tackling systemic issues and ensuring that the focus remains on a public transport system that is not only efficient and effective, but fair and accessible. Treasure helped the PTO extend its reach through projects such as the Travel Assistance Program which assists vulnerable students in the western suburbs to stay connected to school using public transport (</w:t>
      </w:r>
      <w:hyperlink w:anchor="_In_the_community" w:history="1">
        <w:r w:rsidRPr="00482F25">
          <w:rPr>
            <w:rStyle w:val="Hyperlink"/>
          </w:rPr>
          <w:t>page 19</w:t>
        </w:r>
      </w:hyperlink>
      <w:r w:rsidRPr="00482F25">
        <w:t>).</w:t>
      </w:r>
      <w:r>
        <w:t xml:space="preserve"> We are very grateful to Treasure for her thoughtful and effective leadership of the PTO and wish her all the best in her new roles. </w:t>
      </w:r>
    </w:p>
    <w:p w14:paraId="073DC4CE" w14:textId="708563FD" w:rsidR="007D1960" w:rsidRDefault="007D1960" w:rsidP="007D1960">
      <w:r>
        <w:t xml:space="preserve">The Board appointed Simon McKenzie as Acting Ombudsman, allowing the </w:t>
      </w:r>
      <w:proofErr w:type="spellStart"/>
      <w:r>
        <w:t>organisation</w:t>
      </w:r>
      <w:proofErr w:type="spellEnd"/>
      <w:r>
        <w:t xml:space="preserve"> time to see through the current COVID-19 restrictions and giving the Board time to conduct the recruitment for the new Ombudsman. Simon has been with the PTO for more than six years, most recently as Deputy Ombudsman.</w:t>
      </w:r>
    </w:p>
    <w:p w14:paraId="67B3D3DF" w14:textId="77777777" w:rsidR="007D1960" w:rsidRDefault="007D1960" w:rsidP="007D1960">
      <w:r>
        <w:t xml:space="preserve">While 2020 has been a very tough time for all of us, it has also shown that it is as important as ever to provide free and accessible advice to people about their public transport complaints. PTO staff are to be congratulated on seamlessly making the transition to working from home, continuing to provide effective and timely dispute resolution services meeting the PTO’s performance targets. The Board was pleased to see the PTO make progress on initiatives addressing the independent Scheme review recommendations received last year. </w:t>
      </w:r>
    </w:p>
    <w:p w14:paraId="78D40553" w14:textId="77777777" w:rsidR="007D1960" w:rsidRDefault="007D1960" w:rsidP="007D1960">
      <w:r>
        <w:t xml:space="preserve">I wish to extend my thanks to Industry Director Peter Ryan for his valuable contribution to the PTO’s governance whose term finished during the year. I thank all the Industry and Consumer Directors and Company Secretary for their professionalism and dedication, and our members’ staff who continue to take a cooperative and proactive approach to working with the PTO team in these challenging times. </w:t>
      </w:r>
    </w:p>
    <w:p w14:paraId="78DD2FE5" w14:textId="77777777" w:rsidR="007D1960" w:rsidRDefault="007D1960" w:rsidP="007D1960">
      <w:r>
        <w:t xml:space="preserve">Finally, on behalf of the Board I want to thank Treasure, Simon and the wider team of accomplished PTO staff for continuing to deliver their highly skilled complaint handling services, providing independent dispute resolution for consumers and members and providing useful insights about improving the public transport system for everyone. </w:t>
      </w:r>
    </w:p>
    <w:p w14:paraId="4B8CF483" w14:textId="1F9D4C50" w:rsidR="00463D0D" w:rsidRPr="00463D0D" w:rsidRDefault="007D1960" w:rsidP="007D1960">
      <w:r>
        <w:t>Kay Rundle</w:t>
      </w:r>
      <w:r>
        <w:br/>
        <w:t>Chair</w:t>
      </w:r>
    </w:p>
    <w:p w14:paraId="497EFD73" w14:textId="6CB00C90" w:rsidR="00E20DC6" w:rsidRPr="00F34AA3" w:rsidRDefault="001F64A7" w:rsidP="001C0EE6">
      <w:pPr>
        <w:pStyle w:val="Heading1"/>
      </w:pPr>
      <w:r w:rsidRPr="00F34AA3">
        <w:lastRenderedPageBreak/>
        <w:t>Ombudsman’s Report</w:t>
      </w:r>
    </w:p>
    <w:p w14:paraId="290185FA" w14:textId="44E92074" w:rsidR="0001282A" w:rsidRDefault="0001282A" w:rsidP="0001282A">
      <w:r w:rsidRPr="0001282A">
        <w:t xml:space="preserve">Welcome to my first report as Acting Ombudsman in an extraordinary year of change and upheaval for Victorians. </w:t>
      </w:r>
    </w:p>
    <w:p w14:paraId="3A7D8C75" w14:textId="77777777" w:rsidR="0001282A" w:rsidRPr="0001282A" w:rsidRDefault="0001282A" w:rsidP="0001282A">
      <w:pPr>
        <w:rPr>
          <w:spacing w:val="-1"/>
        </w:rPr>
      </w:pPr>
      <w:r w:rsidRPr="0001282A">
        <w:rPr>
          <w:spacing w:val="-1"/>
        </w:rPr>
        <w:t xml:space="preserve">We are experiencing an unprecedented time with COVID-19 fundamentally changing the way we work and live our lives. The year began with the rate of approaches to the PTO Scheme exceeding the previous year. Service delivery issues were the main driver of complaints, up by 6%. This type of consumer complaint is understandable given there was growing patronage and a lot of activity on the network, including ongoing construction, infrastructure upgrades and routine maintenance. We heard from many consumers dissatisfied about cancellations, late services and disruption to timetabled services, both planned and unplanned. Pleasingly, in the first nine months staff issues within approaches had decreased (-7%), as had myki (-13%) compared to the same period last year. </w:t>
      </w:r>
    </w:p>
    <w:p w14:paraId="7D8226AA" w14:textId="77777777" w:rsidR="0001282A" w:rsidRPr="0001282A" w:rsidRDefault="0001282A" w:rsidP="0001282A">
      <w:pPr>
        <w:rPr>
          <w:spacing w:val="-1"/>
        </w:rPr>
      </w:pPr>
      <w:r w:rsidRPr="0001282A">
        <w:rPr>
          <w:spacing w:val="-1"/>
        </w:rPr>
        <w:t xml:space="preserve">The onset of COVID-19 meant that patronage on the network rapidly declined, as did the number of approaches to the PTO. The PTO recorded 3373 approaches to the PTO for the full year, down 6% from 3607 the previous year. Complaints and investigations handled by my office decreased 13% from 2780 to 2428. </w:t>
      </w:r>
    </w:p>
    <w:p w14:paraId="05123083" w14:textId="3ADEBF6C" w:rsidR="0001282A" w:rsidRPr="0001282A" w:rsidRDefault="0001282A" w:rsidP="0001282A">
      <w:pPr>
        <w:rPr>
          <w:spacing w:val="-1"/>
        </w:rPr>
      </w:pPr>
      <w:r w:rsidRPr="0001282A">
        <w:rPr>
          <w:spacing w:val="-1"/>
        </w:rPr>
        <w:t xml:space="preserve">COVID-19 changed the complaint mix, consumer complaint focus shifted from service delivery to ticketing and the management of land and infrastructure. Changes in consumer circumstances drove complaints about ticket refunds and changes to passes, leading to 21 investigations. In 136 approaches during the last 3 months of the year, consumers cited COVID-19 considerations as relevant to why they approached the PTO. You can read more about the issues consumers raised linked to COVID-19 on </w:t>
      </w:r>
      <w:hyperlink w:anchor="_COVID-19_and_Public" w:history="1">
        <w:r w:rsidRPr="00482F25">
          <w:rPr>
            <w:rStyle w:val="Hyperlink"/>
            <w:spacing w:val="-1"/>
          </w:rPr>
          <w:t xml:space="preserve">page </w:t>
        </w:r>
        <w:r w:rsidR="00482F25" w:rsidRPr="00482F25">
          <w:rPr>
            <w:rStyle w:val="Hyperlink"/>
            <w:spacing w:val="-1"/>
          </w:rPr>
          <w:t>9</w:t>
        </w:r>
      </w:hyperlink>
      <w:r w:rsidRPr="00482F25">
        <w:rPr>
          <w:spacing w:val="-1"/>
        </w:rPr>
        <w:t>.</w:t>
      </w:r>
      <w:r w:rsidRPr="0001282A">
        <w:rPr>
          <w:spacing w:val="-1"/>
        </w:rPr>
        <w:t xml:space="preserve"> </w:t>
      </w:r>
    </w:p>
    <w:p w14:paraId="25DBC2AB" w14:textId="77777777" w:rsidR="0001282A" w:rsidRPr="0001282A" w:rsidRDefault="0001282A" w:rsidP="0001282A">
      <w:r w:rsidRPr="0001282A">
        <w:rPr>
          <w:spacing w:val="-1"/>
        </w:rPr>
        <w:t xml:space="preserve">It is important to listen to consumers who take the time to tell us that public transport or an individual operator hasn’t met their expectations. The way in which our members address consumer’s COVID-19 related concerns while striving for continuous improvement will be fundamental to bringing passengers back as movement linked to economic and social activity returns. We are committed to working with our members on several levels; resolving individual disputes and identifying potential improvements or systemic causes of complaint. </w:t>
      </w:r>
    </w:p>
    <w:p w14:paraId="7AC7F2FC" w14:textId="22462824" w:rsidR="0001282A" w:rsidRPr="0001282A" w:rsidRDefault="0001282A" w:rsidP="0001282A">
      <w:r w:rsidRPr="0001282A">
        <w:t xml:space="preserve">During the year we launched a </w:t>
      </w:r>
      <w:hyperlink r:id="rId8" w:history="1">
        <w:r w:rsidRPr="00482F25">
          <w:rPr>
            <w:rStyle w:val="Hyperlink"/>
          </w:rPr>
          <w:t>Have Your Say</w:t>
        </w:r>
      </w:hyperlink>
      <w:r w:rsidRPr="0001282A">
        <w:t xml:space="preserve"> section on our website to allow consumers to highlight such issues for attention even if they do not wish to make a complaint through our office themselves. You can read more about our work on systemic issues on </w:t>
      </w:r>
      <w:hyperlink w:anchor="_Systemic_Issues" w:history="1">
        <w:r w:rsidRPr="00482F25">
          <w:rPr>
            <w:rStyle w:val="Hyperlink"/>
          </w:rPr>
          <w:t>page 14</w:t>
        </w:r>
      </w:hyperlink>
      <w:r w:rsidRPr="00482F25">
        <w:t>.</w:t>
      </w:r>
      <w:r w:rsidRPr="0001282A">
        <w:t xml:space="preserve"> </w:t>
      </w:r>
    </w:p>
    <w:p w14:paraId="63C197B8" w14:textId="77777777" w:rsidR="0001282A" w:rsidRPr="0001282A" w:rsidRDefault="0001282A" w:rsidP="0001282A">
      <w:r w:rsidRPr="0001282A">
        <w:t xml:space="preserve">Public transport is an essential service that enables independence and community participation for many Victorians. As restrictions ease and we head towards COVID-normal, the PTO and its members will need to respond to transformed consumer expectations and sentiment. Community confidence in how public transport is delivered and how concerns are addressed will influence people’s decision about how they travel, and importantly, if they travel at all. </w:t>
      </w:r>
    </w:p>
    <w:p w14:paraId="14E65686" w14:textId="6882A6DA" w:rsidR="0001282A" w:rsidRPr="0001282A" w:rsidRDefault="0001282A" w:rsidP="0001282A">
      <w:r w:rsidRPr="0001282A">
        <w:t xml:space="preserve">Raising awareness of the work we do and reaching consumers is an important focus for us, so we expanded our social media engagement, redeveloped our website, and </w:t>
      </w:r>
      <w:r w:rsidRPr="0001282A">
        <w:lastRenderedPageBreak/>
        <w:t xml:space="preserve">launched new strategic initiatives like our Accessibility and Inclusion Action Plan. Read about our accessibility, engagement, and awareness initiatives on </w:t>
      </w:r>
      <w:hyperlink w:anchor="_Accessibility_and_Inclusion" w:history="1">
        <w:r w:rsidRPr="00482F25">
          <w:rPr>
            <w:rStyle w:val="Hyperlink"/>
          </w:rPr>
          <w:t>page 18</w:t>
        </w:r>
      </w:hyperlink>
      <w:r w:rsidRPr="00482F25">
        <w:t>.</w:t>
      </w:r>
      <w:r w:rsidRPr="0001282A">
        <w:t xml:space="preserve"> </w:t>
      </w:r>
    </w:p>
    <w:p w14:paraId="6391FCA3" w14:textId="77777777" w:rsidR="0001282A" w:rsidRPr="0001282A" w:rsidRDefault="0001282A" w:rsidP="0001282A">
      <w:r w:rsidRPr="0001282A">
        <w:t xml:space="preserve">I would like to thank the hard-working PTO team who continue to deliver a professional, independent, and excellent service to consumers and members during these uncertain times. I also thank the members of the PTO Scheme for their participation and support. </w:t>
      </w:r>
    </w:p>
    <w:p w14:paraId="7295EEA0" w14:textId="77777777" w:rsidR="0001282A" w:rsidRPr="0001282A" w:rsidRDefault="0001282A" w:rsidP="0001282A">
      <w:r w:rsidRPr="0001282A">
        <w:t xml:space="preserve">Finally, I extend my congratulations to Treasure Jennings on her appointment to the roles of Victoria’s Mental Health Commissioner and Disability Services Commissioner and thank her for her leadership and tremendous contribution to the PTO. </w:t>
      </w:r>
    </w:p>
    <w:p w14:paraId="759BE7EF" w14:textId="11158A93" w:rsidR="006A2F0B" w:rsidRPr="00A138D9" w:rsidRDefault="0001282A" w:rsidP="0001282A">
      <w:r w:rsidRPr="0001282A">
        <w:t>Simon McKenzie</w:t>
      </w:r>
      <w:r w:rsidRPr="0001282A">
        <w:br/>
        <w:t>Acting Ombudsman</w:t>
      </w:r>
    </w:p>
    <w:p w14:paraId="791DC038" w14:textId="509F9D78" w:rsidR="0049239E" w:rsidRPr="00A138D9" w:rsidRDefault="0049239E" w:rsidP="005F35B0">
      <w:r w:rsidRPr="00A138D9">
        <w:br w:type="page"/>
      </w:r>
    </w:p>
    <w:p w14:paraId="1668D871" w14:textId="47560C7A" w:rsidR="006A2F0B" w:rsidRDefault="001F64A7" w:rsidP="001C0EE6">
      <w:pPr>
        <w:pStyle w:val="Heading1"/>
      </w:pPr>
      <w:bookmarkStart w:id="3" w:name="_Our_Board"/>
      <w:bookmarkEnd w:id="3"/>
      <w:r>
        <w:lastRenderedPageBreak/>
        <w:t>Our</w:t>
      </w:r>
      <w:r w:rsidRPr="007C0085">
        <w:t xml:space="preserve"> Board</w:t>
      </w:r>
      <w:r>
        <w:t xml:space="preserve"> </w:t>
      </w:r>
    </w:p>
    <w:p w14:paraId="7F460425" w14:textId="77777777" w:rsidR="00FE3E8A" w:rsidRPr="00FE3E8A" w:rsidRDefault="00FE3E8A" w:rsidP="00FE3E8A">
      <w:pPr>
        <w:rPr>
          <w:i/>
          <w:iCs/>
        </w:rPr>
      </w:pPr>
      <w:r w:rsidRPr="00FE3E8A">
        <w:rPr>
          <w:i/>
          <w:iCs/>
        </w:rPr>
        <w:t>*Double page spread shows portrait photographs of the PTO Board.</w:t>
      </w:r>
    </w:p>
    <w:p w14:paraId="0250A21D" w14:textId="1D57A5BD" w:rsidR="00E8605F" w:rsidRPr="00E8605F" w:rsidRDefault="00E8605F" w:rsidP="00E8605F">
      <w:r>
        <w:t xml:space="preserve">The PTO is governed by a Board of </w:t>
      </w:r>
      <w:r w:rsidRPr="00E8605F">
        <w:t>consumer and industry representatives with an independent Chair. The responsibilities of the Board include oversight</w:t>
      </w:r>
      <w:r>
        <w:t xml:space="preserve"> of the PTO Scheme and maintenance of the day-to-day independence of the Ombudsman.</w:t>
      </w:r>
    </w:p>
    <w:p w14:paraId="356DD407" w14:textId="56407836" w:rsidR="00973474" w:rsidRPr="00E8605F" w:rsidRDefault="006B4695" w:rsidP="00E8605F">
      <w:pPr>
        <w:rPr>
          <w:b/>
          <w:bCs/>
        </w:rPr>
      </w:pPr>
      <w:r w:rsidRPr="00E8605F">
        <w:rPr>
          <w:b/>
          <w:bCs/>
        </w:rPr>
        <w:t>Kay Rundle</w:t>
      </w:r>
    </w:p>
    <w:p w14:paraId="0DB05B51" w14:textId="3F082B8C" w:rsidR="006B4695" w:rsidRDefault="006B4695" w:rsidP="00E8605F">
      <w:r w:rsidRPr="00A138D9">
        <w:t xml:space="preserve">Chair </w:t>
      </w:r>
    </w:p>
    <w:p w14:paraId="057D8E8F" w14:textId="77777777" w:rsidR="009563B4" w:rsidRDefault="009563B4" w:rsidP="00E8605F">
      <w:r>
        <w:t>Kay has been the PTO Chair since November 2015. Kay has an extensive background as former CEO of local government and has held several directorships and Chair appointments. As an executive coach, she works with CEOs in government, hospitals, and schools.</w:t>
      </w:r>
    </w:p>
    <w:p w14:paraId="7E7C4189" w14:textId="77777777" w:rsidR="00973474" w:rsidRPr="00E8605F" w:rsidRDefault="00973474" w:rsidP="00E8605F">
      <w:pPr>
        <w:rPr>
          <w:b/>
          <w:bCs/>
        </w:rPr>
      </w:pPr>
      <w:proofErr w:type="spellStart"/>
      <w:r w:rsidRPr="00E8605F">
        <w:rPr>
          <w:b/>
          <w:bCs/>
        </w:rPr>
        <w:t>Glenyys</w:t>
      </w:r>
      <w:proofErr w:type="spellEnd"/>
      <w:r w:rsidRPr="00E8605F">
        <w:rPr>
          <w:b/>
          <w:bCs/>
        </w:rPr>
        <w:t xml:space="preserve"> Romanes </w:t>
      </w:r>
    </w:p>
    <w:p w14:paraId="4CC7BE7B" w14:textId="77777777" w:rsidR="009563B4" w:rsidRDefault="009563B4" w:rsidP="00E8605F">
      <w:r>
        <w:rPr>
          <w:i/>
          <w:iCs/>
        </w:rPr>
        <w:t>Consumer Non-executive Director since January 2018</w:t>
      </w:r>
      <w:r>
        <w:t xml:space="preserve"> </w:t>
      </w:r>
    </w:p>
    <w:p w14:paraId="1D7B9A3D" w14:textId="77777777" w:rsidR="009563B4" w:rsidRDefault="009563B4" w:rsidP="00E8605F">
      <w:proofErr w:type="spellStart"/>
      <w:r>
        <w:t>Glenyys</w:t>
      </w:r>
      <w:proofErr w:type="spellEnd"/>
      <w:r>
        <w:t xml:space="preserve"> is an AICD graduate, with a background across all tiers of government including the Victorian Parliament, Commonwealth Ombudsman, Councillor and Mayor. </w:t>
      </w:r>
      <w:proofErr w:type="spellStart"/>
      <w:r>
        <w:t>Glenyys</w:t>
      </w:r>
      <w:proofErr w:type="spellEnd"/>
      <w:r>
        <w:t xml:space="preserve"> is an active member of many NGO committees and community groups including the Victorian Transport Action Group. </w:t>
      </w:r>
    </w:p>
    <w:p w14:paraId="4D30209D" w14:textId="63C87D4B" w:rsidR="00973474" w:rsidRPr="00E8605F" w:rsidRDefault="00973474" w:rsidP="00E8605F">
      <w:pPr>
        <w:rPr>
          <w:b/>
          <w:bCs/>
        </w:rPr>
      </w:pPr>
      <w:r w:rsidRPr="00E8605F">
        <w:rPr>
          <w:b/>
          <w:bCs/>
        </w:rPr>
        <w:t xml:space="preserve">Llewellyn </w:t>
      </w:r>
      <w:proofErr w:type="spellStart"/>
      <w:r w:rsidRPr="00E8605F">
        <w:rPr>
          <w:b/>
          <w:bCs/>
        </w:rPr>
        <w:t>Prain</w:t>
      </w:r>
      <w:proofErr w:type="spellEnd"/>
      <w:r w:rsidRPr="00E8605F">
        <w:rPr>
          <w:b/>
          <w:bCs/>
        </w:rPr>
        <w:t xml:space="preserve"> </w:t>
      </w:r>
    </w:p>
    <w:p w14:paraId="7ED342CB" w14:textId="77777777" w:rsidR="009563B4" w:rsidRDefault="009563B4" w:rsidP="00E8605F">
      <w:r>
        <w:rPr>
          <w:i/>
          <w:iCs/>
        </w:rPr>
        <w:t>Consumer Non-executive Director since January 2016</w:t>
      </w:r>
    </w:p>
    <w:p w14:paraId="1097CB9D" w14:textId="77777777" w:rsidR="009563B4" w:rsidRDefault="009563B4" w:rsidP="00E8605F">
      <w:r>
        <w:t xml:space="preserve">Llewellyn is an experienced company director and a Fellow of the AICD. She has a background in law and public policy. Llewellyn has a vision impairment and is passionate about improving disability inclusion and accessibility in our community. </w:t>
      </w:r>
    </w:p>
    <w:p w14:paraId="21CBE4B4" w14:textId="1F015147" w:rsidR="00973474" w:rsidRPr="00E8605F" w:rsidRDefault="00973474" w:rsidP="00E8605F">
      <w:pPr>
        <w:rPr>
          <w:b/>
          <w:bCs/>
        </w:rPr>
      </w:pPr>
      <w:r w:rsidRPr="00E8605F">
        <w:rPr>
          <w:b/>
          <w:bCs/>
        </w:rPr>
        <w:t xml:space="preserve">Mark Davies </w:t>
      </w:r>
    </w:p>
    <w:p w14:paraId="7E8FACD1" w14:textId="77777777" w:rsidR="009563B4" w:rsidRDefault="009563B4" w:rsidP="00E8605F">
      <w:r>
        <w:rPr>
          <w:i/>
          <w:iCs/>
        </w:rPr>
        <w:t>Consumer Non-executive Director since July 2016</w:t>
      </w:r>
    </w:p>
    <w:p w14:paraId="58F0B435" w14:textId="77777777" w:rsidR="009563B4" w:rsidRDefault="009563B4" w:rsidP="00E8605F">
      <w:r>
        <w:t xml:space="preserve">Mark is a Chartered Accountant and former CEO of local government. With extensive experience in the private sector and local government, Mark now provides consultancy services to state and local governments. </w:t>
      </w:r>
    </w:p>
    <w:p w14:paraId="07579994" w14:textId="77777777" w:rsidR="00973474" w:rsidRPr="00E8605F" w:rsidRDefault="00973474" w:rsidP="00E8605F">
      <w:pPr>
        <w:rPr>
          <w:b/>
          <w:bCs/>
        </w:rPr>
      </w:pPr>
      <w:r w:rsidRPr="00E8605F">
        <w:rPr>
          <w:b/>
          <w:bCs/>
        </w:rPr>
        <w:t xml:space="preserve">DR. Chris Lowe </w:t>
      </w:r>
    </w:p>
    <w:p w14:paraId="2A976192" w14:textId="77777777" w:rsidR="009563B4" w:rsidRDefault="009563B4" w:rsidP="00E8605F">
      <w:r>
        <w:rPr>
          <w:i/>
          <w:iCs/>
        </w:rPr>
        <w:t>Industry Director (</w:t>
      </w:r>
      <w:proofErr w:type="spellStart"/>
      <w:r>
        <w:rPr>
          <w:i/>
          <w:iCs/>
        </w:rPr>
        <w:t>BusVic</w:t>
      </w:r>
      <w:proofErr w:type="spellEnd"/>
      <w:r>
        <w:rPr>
          <w:i/>
          <w:iCs/>
        </w:rPr>
        <w:t>) since December 2017</w:t>
      </w:r>
    </w:p>
    <w:p w14:paraId="6CA7CEB0" w14:textId="77777777" w:rsidR="009563B4" w:rsidRDefault="009563B4" w:rsidP="00E8605F">
      <w:r>
        <w:t xml:space="preserve">Chris has been the Executive Director of Bus Association in Victoria since 2008, the industry representative body for bus operators and suppliers. Chris completed his MBA in 2006 and PhD in 2016.  </w:t>
      </w:r>
    </w:p>
    <w:p w14:paraId="400B16CD" w14:textId="0145C51E" w:rsidR="00973474" w:rsidRPr="00E8605F" w:rsidRDefault="00973474" w:rsidP="00E8605F">
      <w:pPr>
        <w:rPr>
          <w:b/>
          <w:bCs/>
        </w:rPr>
      </w:pPr>
      <w:r w:rsidRPr="00E8605F">
        <w:rPr>
          <w:b/>
          <w:bCs/>
        </w:rPr>
        <w:lastRenderedPageBreak/>
        <w:t xml:space="preserve">Marika Harvey </w:t>
      </w:r>
    </w:p>
    <w:p w14:paraId="01F7E720" w14:textId="77777777" w:rsidR="009563B4" w:rsidRDefault="009563B4" w:rsidP="00E8605F">
      <w:r>
        <w:rPr>
          <w:i/>
          <w:iCs/>
        </w:rPr>
        <w:t>Industry Director (Public Transport Victoria) since December 2018</w:t>
      </w:r>
    </w:p>
    <w:p w14:paraId="47FBA66C" w14:textId="77777777" w:rsidR="009563B4" w:rsidRDefault="009563B4" w:rsidP="00E8605F">
      <w:r>
        <w:t xml:space="preserve">Marika is the Director of Network Performance Insights at the Department of Transport. Marika has extensive professional experience in operations, corporate communications and marketing, customer service, and contract management in the public sector. </w:t>
      </w:r>
    </w:p>
    <w:p w14:paraId="040F43D8" w14:textId="77777777" w:rsidR="009563B4" w:rsidRPr="00E8605F" w:rsidRDefault="009563B4" w:rsidP="00E8605F">
      <w:pPr>
        <w:rPr>
          <w:b/>
          <w:bCs/>
        </w:rPr>
      </w:pPr>
      <w:r w:rsidRPr="00E8605F">
        <w:rPr>
          <w:b/>
          <w:bCs/>
        </w:rPr>
        <w:t xml:space="preserve">Jonathan McKeown </w:t>
      </w:r>
    </w:p>
    <w:p w14:paraId="58AA607A" w14:textId="77777777" w:rsidR="009563B4" w:rsidRDefault="009563B4" w:rsidP="00E8605F">
      <w:r>
        <w:rPr>
          <w:i/>
          <w:iCs/>
        </w:rPr>
        <w:t>Industry Director (V/Line) since February 2020</w:t>
      </w:r>
      <w:r>
        <w:t xml:space="preserve"> </w:t>
      </w:r>
    </w:p>
    <w:p w14:paraId="1644F16B" w14:textId="70D12343" w:rsidR="009563B4" w:rsidRDefault="009563B4" w:rsidP="00E8605F">
      <w:r>
        <w:t>Jonathan is the Executive General Manager for Network Development and Integration at V/Line. Jonathan has more than 25 years’ experience working with state and local government and private industry.</w:t>
      </w:r>
    </w:p>
    <w:p w14:paraId="70D05152" w14:textId="77777777" w:rsidR="009563B4" w:rsidRPr="00E8605F" w:rsidRDefault="009563B4" w:rsidP="00E8605F">
      <w:pPr>
        <w:rPr>
          <w:b/>
          <w:bCs/>
        </w:rPr>
      </w:pPr>
      <w:r w:rsidRPr="00E8605F">
        <w:rPr>
          <w:b/>
          <w:bCs/>
        </w:rPr>
        <w:t xml:space="preserve">Bernard </w:t>
      </w:r>
      <w:proofErr w:type="spellStart"/>
      <w:r w:rsidRPr="00E8605F">
        <w:rPr>
          <w:b/>
          <w:bCs/>
        </w:rPr>
        <w:t>Stute</w:t>
      </w:r>
      <w:proofErr w:type="spellEnd"/>
      <w:r w:rsidRPr="00E8605F">
        <w:rPr>
          <w:b/>
          <w:bCs/>
        </w:rPr>
        <w:t xml:space="preserve"> </w:t>
      </w:r>
    </w:p>
    <w:p w14:paraId="02CC99EC" w14:textId="77777777" w:rsidR="009563B4" w:rsidRDefault="009563B4" w:rsidP="00E8605F">
      <w:r>
        <w:rPr>
          <w:i/>
          <w:iCs/>
        </w:rPr>
        <w:t>Company Secretary</w:t>
      </w:r>
    </w:p>
    <w:p w14:paraId="69894C9D" w14:textId="7E39B232" w:rsidR="009563B4" w:rsidRDefault="009563B4" w:rsidP="00E8605F">
      <w:r>
        <w:t>Bernard has extensive experience in government and public transport having worked for more than 17 years in the sector. He is a lawyer and has supported the PTO in the role of Company Secretary since its inception in 2004.</w:t>
      </w:r>
    </w:p>
    <w:p w14:paraId="4B94B915" w14:textId="11586264" w:rsidR="00DD0C92" w:rsidRDefault="006B4695" w:rsidP="00DD0C92">
      <w:pPr>
        <w:pStyle w:val="Heading1"/>
      </w:pPr>
      <w:bookmarkStart w:id="4" w:name="_Scheme_Review"/>
      <w:bookmarkEnd w:id="4"/>
      <w:r w:rsidRPr="00A138D9">
        <w:br w:type="page"/>
      </w:r>
      <w:r w:rsidR="00DD0C92">
        <w:lastRenderedPageBreak/>
        <w:t xml:space="preserve">Scheme </w:t>
      </w:r>
      <w:r w:rsidR="001F64A7">
        <w:t>Review</w:t>
      </w:r>
    </w:p>
    <w:p w14:paraId="5CA8016C" w14:textId="77777777" w:rsidR="007439D1" w:rsidRDefault="007439D1" w:rsidP="007439D1">
      <w:r>
        <w:t xml:space="preserve">In 2019 the PTO underwent an independent Scheme review, as required every five years. </w:t>
      </w:r>
    </w:p>
    <w:p w14:paraId="2A0FCE5B" w14:textId="6A52FA94" w:rsidR="00DD0C92" w:rsidRDefault="007439D1" w:rsidP="007439D1">
      <w:r>
        <w:t>The Scheme review was very positive about the compliance of the PTO and how we deliver our services, but did recommend we continue to raise awareness of the work we do and simplify how consumers find out about and access our services.</w:t>
      </w:r>
    </w:p>
    <w:p w14:paraId="15C24CDC" w14:textId="0BB736D2" w:rsidR="007439D1" w:rsidRDefault="007439D1" w:rsidP="007439D1">
      <w:pPr>
        <w:pStyle w:val="Heading2"/>
      </w:pPr>
      <w:r>
        <w:t xml:space="preserve">In response we implemented some new and improved strategies, including: </w:t>
      </w:r>
    </w:p>
    <w:p w14:paraId="5A0B6405" w14:textId="77777777" w:rsidR="007439D1" w:rsidRDefault="007439D1" w:rsidP="00E30CDF">
      <w:pPr>
        <w:pStyle w:val="ListParagraph"/>
        <w:numPr>
          <w:ilvl w:val="0"/>
          <w:numId w:val="24"/>
        </w:numPr>
      </w:pPr>
      <w:r w:rsidRPr="007439D1">
        <w:rPr>
          <w:spacing w:val="-1"/>
        </w:rPr>
        <w:t>Redeveloping our website to simplify the functionality, prioritise user experience and meet the accessibility compliance standard of WCAG 2.1.</w:t>
      </w:r>
      <w:r w:rsidRPr="007439D1">
        <w:rPr>
          <w:spacing w:val="-1"/>
        </w:rPr>
        <w:br/>
        <w:t xml:space="preserve">The content of the website was rewritten into plain English, optimised for search, with information in languages other than English added. </w:t>
      </w:r>
    </w:p>
    <w:p w14:paraId="0208F454" w14:textId="6F6E1CF2" w:rsidR="007439D1" w:rsidRDefault="007439D1" w:rsidP="00E30CDF">
      <w:pPr>
        <w:pStyle w:val="ListParagraph"/>
        <w:numPr>
          <w:ilvl w:val="0"/>
          <w:numId w:val="24"/>
        </w:numPr>
      </w:pPr>
      <w:r>
        <w:t xml:space="preserve">Introducing </w:t>
      </w:r>
      <w:r w:rsidRPr="00482F25">
        <w:t xml:space="preserve">a </w:t>
      </w:r>
      <w:hyperlink r:id="rId9" w:history="1">
        <w:r w:rsidRPr="00482F25">
          <w:rPr>
            <w:rStyle w:val="Hyperlink"/>
          </w:rPr>
          <w:t>Have Your Say</w:t>
        </w:r>
      </w:hyperlink>
      <w:r>
        <w:t xml:space="preserve"> page on the website to capture issues about public transport which may not necessarily be an individual complaint, and to help us identify issues that may be systemic in nature. </w:t>
      </w:r>
    </w:p>
    <w:p w14:paraId="2C91EC32" w14:textId="77777777" w:rsidR="007439D1" w:rsidRDefault="007439D1" w:rsidP="00E30CDF">
      <w:pPr>
        <w:pStyle w:val="ListParagraph"/>
        <w:numPr>
          <w:ilvl w:val="0"/>
          <w:numId w:val="24"/>
        </w:numPr>
      </w:pPr>
      <w:r>
        <w:t>Developing a comprehensive Accessibility and Inclusion Action Plan which includes measures for raising awareness of the PTO and engaging with people with disabilities and their advocates. These measures include attending both metropolitan and regional disability expos, partnering with the Disability Resource Centre (DRC) to participate in regional public transport workshops and upgrading our website to make our systemic investigations process more accessible.</w:t>
      </w:r>
    </w:p>
    <w:p w14:paraId="751EFE0C" w14:textId="77777777" w:rsidR="007439D1" w:rsidRDefault="007439D1" w:rsidP="00E30CDF">
      <w:pPr>
        <w:pStyle w:val="ListParagraph"/>
        <w:numPr>
          <w:ilvl w:val="0"/>
          <w:numId w:val="24"/>
        </w:numPr>
      </w:pPr>
      <w:r>
        <w:t xml:space="preserve">Expanding our public communications to include additional social media channels including Twitter, LinkedIn and Instagram, giving us more ways to engage with our audience and providing alternative ways to contact us and make a complaint. </w:t>
      </w:r>
    </w:p>
    <w:p w14:paraId="410518EE" w14:textId="77777777" w:rsidR="007439D1" w:rsidRDefault="007439D1" w:rsidP="00E30CDF">
      <w:pPr>
        <w:pStyle w:val="ListParagraph"/>
        <w:numPr>
          <w:ilvl w:val="0"/>
          <w:numId w:val="24"/>
        </w:numPr>
      </w:pPr>
      <w:r>
        <w:t xml:space="preserve">Writing and filming a new updated </w:t>
      </w:r>
      <w:proofErr w:type="spellStart"/>
      <w:r>
        <w:t>Auslan</w:t>
      </w:r>
      <w:proofErr w:type="spellEnd"/>
      <w:r>
        <w:t xml:space="preserve"> information video for the website and social media. </w:t>
      </w:r>
    </w:p>
    <w:p w14:paraId="7B9A44FD" w14:textId="77777777" w:rsidR="007439D1" w:rsidRDefault="007439D1" w:rsidP="00E30CDF">
      <w:pPr>
        <w:pStyle w:val="ListParagraph"/>
        <w:numPr>
          <w:ilvl w:val="0"/>
          <w:numId w:val="24"/>
        </w:numPr>
      </w:pPr>
      <w:r>
        <w:t>Surveying students at O-Week events at four different Universities across Melbourne to capture their experiences with public transport and awareness of the PTO.</w:t>
      </w:r>
    </w:p>
    <w:p w14:paraId="685598A4" w14:textId="77777777" w:rsidR="007439D1" w:rsidRDefault="007439D1" w:rsidP="00E30CDF">
      <w:pPr>
        <w:pStyle w:val="ListParagraph"/>
        <w:numPr>
          <w:ilvl w:val="0"/>
          <w:numId w:val="24"/>
        </w:numPr>
      </w:pPr>
      <w:r>
        <w:t xml:space="preserve">Staff undertook disability awareness training which will continue to be delivered on an annual basis. </w:t>
      </w:r>
    </w:p>
    <w:p w14:paraId="36CDB9CC" w14:textId="5A9A0322" w:rsidR="007439D1" w:rsidRDefault="007439D1" w:rsidP="007439D1">
      <w:r>
        <w:t>Opportunities to raise public awareness of the PTO and improve the ease with which a person can complain to us when they are dissatisfied continues to be a focus. We are developing an Awareness Strategy to make it easier for people to contact us, including vulnerable people and people with accessibility needs.</w:t>
      </w:r>
    </w:p>
    <w:p w14:paraId="61770E0F" w14:textId="716C4B4D" w:rsidR="007439D1" w:rsidRPr="007439D1" w:rsidRDefault="007439D1" w:rsidP="007439D1">
      <w:pPr>
        <w:ind w:left="720"/>
        <w:rPr>
          <w:b/>
          <w:bCs/>
        </w:rPr>
      </w:pPr>
      <w:r w:rsidRPr="00482F25">
        <w:rPr>
          <w:b/>
          <w:bCs/>
        </w:rPr>
        <w:t xml:space="preserve">Read the full </w:t>
      </w:r>
      <w:hyperlink r:id="rId10" w:history="1">
        <w:r w:rsidRPr="00482F25">
          <w:rPr>
            <w:rStyle w:val="Hyperlink"/>
            <w:b/>
            <w:bCs/>
          </w:rPr>
          <w:t>Scheme Review report</w:t>
        </w:r>
      </w:hyperlink>
      <w:r w:rsidRPr="00482F25">
        <w:rPr>
          <w:b/>
          <w:bCs/>
        </w:rPr>
        <w:t xml:space="preserve"> and the PTO </w:t>
      </w:r>
      <w:hyperlink r:id="rId11" w:history="1">
        <w:r w:rsidRPr="00482F25">
          <w:rPr>
            <w:rStyle w:val="Hyperlink"/>
            <w:b/>
            <w:bCs/>
          </w:rPr>
          <w:t>Board’s response</w:t>
        </w:r>
      </w:hyperlink>
      <w:r w:rsidRPr="00482F25">
        <w:rPr>
          <w:b/>
          <w:bCs/>
        </w:rPr>
        <w:t xml:space="preserve"> on our website.</w:t>
      </w:r>
    </w:p>
    <w:p w14:paraId="0C63ED77" w14:textId="77777777" w:rsidR="007439D1" w:rsidRDefault="007439D1" w:rsidP="007439D1"/>
    <w:p w14:paraId="1ED7B5A1" w14:textId="12282B17" w:rsidR="00DD0C92" w:rsidRDefault="00DD0C92">
      <w:pPr>
        <w:spacing w:before="0" w:beforeAutospacing="0" w:after="160" w:afterAutospacing="0" w:line="259" w:lineRule="auto"/>
      </w:pPr>
      <w:r>
        <w:br w:type="page"/>
      </w:r>
    </w:p>
    <w:p w14:paraId="2CD2DCC5" w14:textId="77777777" w:rsidR="00EB4E8E" w:rsidRPr="00EB4E8E" w:rsidRDefault="00EB4E8E" w:rsidP="00EB4E8E">
      <w:pPr>
        <w:pStyle w:val="Heading1"/>
      </w:pPr>
      <w:bookmarkStart w:id="5" w:name="_COVID-19_and_Public"/>
      <w:bookmarkEnd w:id="5"/>
      <w:r w:rsidRPr="00EB4E8E">
        <w:lastRenderedPageBreak/>
        <w:t>COVID-19 and Public Transport</w:t>
      </w:r>
    </w:p>
    <w:p w14:paraId="2B2B16E9" w14:textId="77777777" w:rsidR="00EB4E8E" w:rsidRPr="00EB4E8E" w:rsidRDefault="00EB4E8E" w:rsidP="00EB4E8E">
      <w:r w:rsidRPr="00EB4E8E">
        <w:t>Everyone’s lives were suddenly impacted by the outbreak of COVID-19 in March, including public transport users. The restrictions put in place to stop the spread of the virus meant that within the space of a week, thousands of Victorians stopped commuting as they began working and studying from home (where possible).</w:t>
      </w:r>
    </w:p>
    <w:p w14:paraId="2F1AB167" w14:textId="77777777" w:rsidR="00EB4E8E" w:rsidRPr="00EB4E8E" w:rsidRDefault="00EB4E8E" w:rsidP="00EB4E8E">
      <w:r w:rsidRPr="00EB4E8E">
        <w:t>This meant that our office saw a spike in the number of complaints relating to COVID-19. Recognising that the pandemic was affecting customer’s circumstances in a growing proportion of complaints, we created a distinct new issue category for COVID-19, to help us track these complaints and potential opportunities for improvement.</w:t>
      </w:r>
    </w:p>
    <w:p w14:paraId="2E147E35" w14:textId="77777777" w:rsidR="00EB4E8E" w:rsidRPr="00EB4E8E" w:rsidRDefault="00EB4E8E" w:rsidP="00EB4E8E">
      <w:r w:rsidRPr="00EB4E8E">
        <w:t xml:space="preserve">Of the 215 COVID-19 issues within approaches we received until 30 June, around half were related to ticketing, including: refund delays, pausing myki Passes no longer in use and access to accurate information about options to manage their myki Pass while working from home or travelling less. We also heard concerns about social distancing, hygiene and cleaning of vehicles and network assets. </w:t>
      </w:r>
    </w:p>
    <w:p w14:paraId="55E079CA" w14:textId="02BB2331" w:rsidR="00EB4E8E" w:rsidRPr="00EB4E8E" w:rsidRDefault="00EB4E8E" w:rsidP="00EB4E8E">
      <w:r w:rsidRPr="00EB4E8E">
        <w:t>As the impact of COVID-19 on public transport became clearer, the Department of Transport reviewed ticketing and refund processes and introduced the ability for consumers to Pause their myki. We worked with the Department to ensure that all customer requests made before the new options were created were reviewed, and that no consumers were disadvantaged by the rapidly changing COVID-19 landscape.</w:t>
      </w:r>
    </w:p>
    <w:p w14:paraId="1FAD29CE" w14:textId="77777777" w:rsidR="00EB4E8E" w:rsidRPr="00EB4E8E" w:rsidRDefault="00EB4E8E" w:rsidP="00EB4E8E">
      <w:pPr>
        <w:pStyle w:val="Heading2"/>
      </w:pPr>
      <w:r w:rsidRPr="00EB4E8E">
        <w:t>Some of the COVID-19-related ticketing complaints we received to 30 June 2020 included:</w:t>
      </w:r>
    </w:p>
    <w:p w14:paraId="51297B22" w14:textId="77777777" w:rsidR="00EB4E8E" w:rsidRPr="00EB4E8E" w:rsidRDefault="00EB4E8E" w:rsidP="00E30CDF">
      <w:pPr>
        <w:pStyle w:val="ListParagraph"/>
        <w:numPr>
          <w:ilvl w:val="0"/>
          <w:numId w:val="25"/>
        </w:numPr>
      </w:pPr>
      <w:r w:rsidRPr="00EB4E8E">
        <w:t>Anastasia was not given the opportunity to review the refund amount for her annual myki Pass before it was processed. The refund she received was far less than she was expecting, and she would not have opted for the refund had she known this.</w:t>
      </w:r>
    </w:p>
    <w:p w14:paraId="3F65A324" w14:textId="77777777" w:rsidR="00EB4E8E" w:rsidRPr="00EB4E8E" w:rsidRDefault="00EB4E8E" w:rsidP="00E30CDF">
      <w:pPr>
        <w:pStyle w:val="ListParagraph"/>
        <w:numPr>
          <w:ilvl w:val="0"/>
          <w:numId w:val="25"/>
        </w:numPr>
      </w:pPr>
      <w:r w:rsidRPr="00EB4E8E">
        <w:t xml:space="preserve">Brian received inconsistent advice about returning his myki card by post to receive a Pass refund. </w:t>
      </w:r>
      <w:r w:rsidRPr="00EB4E8E">
        <w:br/>
        <w:t xml:space="preserve">The requirement to return a myki card had been waived during the COVID-19 pandemic, but his refund request was declined on the basis he hadn’t returned his card. </w:t>
      </w:r>
    </w:p>
    <w:p w14:paraId="3930631C" w14:textId="77777777" w:rsidR="00EB4E8E" w:rsidRPr="00EB4E8E" w:rsidRDefault="00EB4E8E" w:rsidP="00E30CDF">
      <w:pPr>
        <w:pStyle w:val="ListParagraph"/>
        <w:numPr>
          <w:ilvl w:val="0"/>
          <w:numId w:val="25"/>
        </w:numPr>
      </w:pPr>
      <w:r w:rsidRPr="00EB4E8E">
        <w:t xml:space="preserve">Ron had a commuter club myki Pass and requested it be refunded because he was </w:t>
      </w:r>
      <w:r w:rsidRPr="00EB4E8E">
        <w:br/>
        <w:t xml:space="preserve">no longer travelling. Only after he received the refund did he realise that he would be losing </w:t>
      </w:r>
      <w:r w:rsidRPr="00EB4E8E">
        <w:br/>
        <w:t xml:space="preserve">out on the discounted value and 40 free days </w:t>
      </w:r>
      <w:r w:rsidRPr="00EB4E8E">
        <w:br/>
        <w:t xml:space="preserve">built into the Pass. </w:t>
      </w:r>
    </w:p>
    <w:p w14:paraId="763ACED3" w14:textId="3A846D44" w:rsidR="00EB4E8E" w:rsidRPr="00EB4E8E" w:rsidRDefault="00EB4E8E" w:rsidP="00E30CDF">
      <w:pPr>
        <w:pStyle w:val="ListParagraph"/>
        <w:numPr>
          <w:ilvl w:val="0"/>
          <w:numId w:val="25"/>
        </w:numPr>
      </w:pPr>
      <w:r w:rsidRPr="00EB4E8E">
        <w:t xml:space="preserve">Hamish held a tertiary student myki Pass </w:t>
      </w:r>
      <w:r w:rsidRPr="00EB4E8E">
        <w:br/>
        <w:t>and called the PTV call centre to request information on travelling and Passes during Covid-19 restrictions. The call centre told him to check online, and PTV’s website suggested that his only option as a student Pass holder was to refund his myki card entirely. He contacted us as he hoped we could explore the option of him keeping his myki card and retaining the value of his Pass.</w:t>
      </w:r>
    </w:p>
    <w:p w14:paraId="491D7E4C" w14:textId="77777777" w:rsidR="00EB4E8E" w:rsidRPr="00EB4E8E" w:rsidRDefault="00EB4E8E" w:rsidP="00E30CDF">
      <w:pPr>
        <w:pStyle w:val="ListParagraph"/>
        <w:numPr>
          <w:ilvl w:val="0"/>
          <w:numId w:val="25"/>
        </w:numPr>
      </w:pPr>
      <w:r w:rsidRPr="00EB4E8E">
        <w:t xml:space="preserve">Trevor requested a refund of his myki Pass in March, before the option to ‘pause’ an active Pass was announced. He contacted us because he realised the Pause </w:t>
      </w:r>
      <w:r w:rsidRPr="00EB4E8E">
        <w:lastRenderedPageBreak/>
        <w:t>was the better option for him financially, but PTV had been unable to reverse his request.</w:t>
      </w:r>
    </w:p>
    <w:p w14:paraId="4949C78C" w14:textId="60A4958F" w:rsidR="00EB4E8E" w:rsidRDefault="00EB4E8E" w:rsidP="00E30CDF">
      <w:pPr>
        <w:pStyle w:val="ListParagraph"/>
        <w:numPr>
          <w:ilvl w:val="0"/>
          <w:numId w:val="25"/>
        </w:numPr>
      </w:pPr>
      <w:r w:rsidRPr="00EB4E8E">
        <w:t>Vihaan ‘paused’ his active myki Pass but when he received his replacement card, he saw it was loaded with fewer Pass days than he was expecting. He contacted the PTO as he had already spent weeks working with the PTV call centre arranging his replacement card and was left confused by the process.</w:t>
      </w:r>
    </w:p>
    <w:p w14:paraId="77858A69" w14:textId="77777777" w:rsidR="00EB4E8E" w:rsidRPr="00EB4E8E" w:rsidRDefault="00EB4E8E" w:rsidP="00EB4E8E">
      <w:r w:rsidRPr="00EB4E8E">
        <w:t>While most COVID-19 related complaints were about myki Passes, consumers also expressed frustration about confusing information provided by public transport operators on the phone and online. There was a clear need for concise and easy to understand information for consumers when managing their myki Passes during the COVID-19 lockdown. Our office worked with the Department and operators to resolve complaints driven by COVID-19 impacts on commuters and achieve outcomes they were satisfied with.</w:t>
      </w:r>
    </w:p>
    <w:p w14:paraId="2CE68CC8" w14:textId="77777777" w:rsidR="00EB4E8E" w:rsidRDefault="00EB4E8E" w:rsidP="00EB4E8E">
      <w:pPr>
        <w:rPr>
          <w:b/>
          <w:bCs/>
        </w:rPr>
      </w:pPr>
      <w:r>
        <w:rPr>
          <w:b/>
          <w:bCs/>
        </w:rPr>
        <w:t>Pie chart shows 215 COVID-19 issues in 136 approaches comprised:</w:t>
      </w:r>
    </w:p>
    <w:p w14:paraId="372CEFD1" w14:textId="2D4C2E1D" w:rsidR="00EB4E8E" w:rsidRPr="00D75DEE" w:rsidRDefault="00EB4E8E" w:rsidP="00E30CDF">
      <w:pPr>
        <w:pStyle w:val="ListParagraph"/>
        <w:numPr>
          <w:ilvl w:val="0"/>
          <w:numId w:val="26"/>
        </w:numPr>
      </w:pPr>
      <w:r w:rsidRPr="00D75DEE">
        <w:t>109</w:t>
      </w:r>
      <w:r w:rsidR="00D75DEE" w:rsidRPr="00D75DEE">
        <w:t xml:space="preserve"> issues related to</w:t>
      </w:r>
      <w:r w:rsidRPr="00D75DEE">
        <w:t xml:space="preserve"> Ticketing (50.7%)</w:t>
      </w:r>
    </w:p>
    <w:p w14:paraId="4E10A01B" w14:textId="0A306115" w:rsidR="00EB4E8E" w:rsidRPr="00D75DEE" w:rsidRDefault="00EB4E8E" w:rsidP="00E30CDF">
      <w:pPr>
        <w:pStyle w:val="ListParagraph"/>
        <w:numPr>
          <w:ilvl w:val="0"/>
          <w:numId w:val="26"/>
        </w:numPr>
      </w:pPr>
      <w:r w:rsidRPr="00D75DEE">
        <w:t xml:space="preserve">58 </w:t>
      </w:r>
      <w:r w:rsidR="00D75DEE" w:rsidRPr="00D75DEE">
        <w:t xml:space="preserve">issues related to </w:t>
      </w:r>
      <w:r w:rsidRPr="00D75DEE">
        <w:t xml:space="preserve">Social </w:t>
      </w:r>
      <w:r w:rsidR="00D75DEE">
        <w:t>D</w:t>
      </w:r>
      <w:r w:rsidRPr="00D75DEE">
        <w:t>istancing (27%)</w:t>
      </w:r>
    </w:p>
    <w:p w14:paraId="6A5467F4" w14:textId="5F6B6972" w:rsidR="00D75DEE" w:rsidRPr="00D75DEE" w:rsidRDefault="00D75DEE" w:rsidP="00E30CDF">
      <w:pPr>
        <w:pStyle w:val="ListParagraph"/>
        <w:numPr>
          <w:ilvl w:val="0"/>
          <w:numId w:val="26"/>
        </w:numPr>
      </w:pPr>
      <w:r w:rsidRPr="00D75DEE">
        <w:t xml:space="preserve">21 issues related to Customer </w:t>
      </w:r>
      <w:r>
        <w:t>E</w:t>
      </w:r>
      <w:r w:rsidRPr="00D75DEE">
        <w:t>xperience (9.8%)</w:t>
      </w:r>
    </w:p>
    <w:p w14:paraId="64DB7D5A" w14:textId="78B4ABF8" w:rsidR="00D75DEE" w:rsidRPr="00D75DEE" w:rsidRDefault="00D75DEE" w:rsidP="00E30CDF">
      <w:pPr>
        <w:pStyle w:val="ListParagraph"/>
        <w:numPr>
          <w:ilvl w:val="0"/>
          <w:numId w:val="26"/>
        </w:numPr>
      </w:pPr>
      <w:r w:rsidRPr="00D75DEE">
        <w:t xml:space="preserve">15 issues related to Hygiene and </w:t>
      </w:r>
      <w:r>
        <w:t>C</w:t>
      </w:r>
      <w:r w:rsidRPr="00D75DEE">
        <w:t>leanliness (7%)</w:t>
      </w:r>
    </w:p>
    <w:p w14:paraId="5732878B" w14:textId="77777777" w:rsidR="00D75DEE" w:rsidRPr="00D75DEE" w:rsidRDefault="00D75DEE" w:rsidP="00E30CDF">
      <w:pPr>
        <w:pStyle w:val="ListParagraph"/>
        <w:numPr>
          <w:ilvl w:val="0"/>
          <w:numId w:val="26"/>
        </w:numPr>
      </w:pPr>
      <w:r w:rsidRPr="00D75DEE">
        <w:t>10 issues related to Information (4.7%)</w:t>
      </w:r>
    </w:p>
    <w:p w14:paraId="7FD01746" w14:textId="798A9430" w:rsidR="006F44B6" w:rsidRPr="00EB4E8E" w:rsidRDefault="00D75DEE" w:rsidP="00E30CDF">
      <w:pPr>
        <w:pStyle w:val="ListParagraph"/>
        <w:numPr>
          <w:ilvl w:val="0"/>
          <w:numId w:val="26"/>
        </w:numPr>
      </w:pPr>
      <w:r w:rsidRPr="00D75DEE">
        <w:t>2 issues related to Policy (0.9%)</w:t>
      </w:r>
      <w:r w:rsidR="006F44B6" w:rsidRPr="00EB4E8E">
        <w:br w:type="page"/>
      </w:r>
    </w:p>
    <w:p w14:paraId="11FC09F3" w14:textId="36C80C9D" w:rsidR="00514558" w:rsidRDefault="001F64A7" w:rsidP="00514558">
      <w:pPr>
        <w:pStyle w:val="Heading1"/>
      </w:pPr>
      <w:bookmarkStart w:id="6" w:name="_Complaints_and_Investigations"/>
      <w:bookmarkEnd w:id="6"/>
      <w:r w:rsidRPr="001F64A7">
        <w:rPr>
          <w:lang w:val="en-US"/>
        </w:rPr>
        <w:lastRenderedPageBreak/>
        <w:t xml:space="preserve">Complaints and </w:t>
      </w:r>
      <w:r w:rsidR="00514558">
        <w:t>Investigations</w:t>
      </w:r>
    </w:p>
    <w:p w14:paraId="735361DF" w14:textId="77777777" w:rsidR="001F64A7" w:rsidRPr="001F64A7" w:rsidRDefault="001F64A7" w:rsidP="001F64A7">
      <w:r w:rsidRPr="001F64A7">
        <w:t xml:space="preserve">The PTO has a team of skilled and impartial Conciliators to help consumers and members resolve disputes and reach an agreement. </w:t>
      </w:r>
    </w:p>
    <w:p w14:paraId="60DE98A1" w14:textId="77777777" w:rsidR="001F64A7" w:rsidRDefault="001F64A7" w:rsidP="001F64A7">
      <w:r w:rsidRPr="001F64A7">
        <w:t>We do this by conducting investigations into both the cause, and the handling of complaints in a process designed to address outstanding issues and focus on a fair outcome.</w:t>
      </w:r>
      <w:r>
        <w:t xml:space="preserve"> </w:t>
      </w:r>
    </w:p>
    <w:p w14:paraId="569232A0" w14:textId="77777777" w:rsidR="001F64A7" w:rsidRDefault="001F64A7" w:rsidP="001F64A7">
      <w:r w:rsidRPr="001F64A7">
        <w:t xml:space="preserve">If there is no agreement, we may assess the case formally and look at whether the resolution offered by the member is fair. The Ombudsman also has the power to make a binding determination on unresolved matters if we do not think the offer of resolution goes far enough. </w:t>
      </w:r>
    </w:p>
    <w:p w14:paraId="41AD11AC" w14:textId="77777777" w:rsidR="001F64A7" w:rsidRPr="001F64A7" w:rsidRDefault="001F64A7" w:rsidP="001F64A7">
      <w:pPr>
        <w:pStyle w:val="Heading2"/>
      </w:pPr>
      <w:r w:rsidRPr="001F64A7">
        <w:t>Complaint Causes</w:t>
      </w:r>
    </w:p>
    <w:p w14:paraId="36C7180D" w14:textId="04EEBD25" w:rsidR="001F64A7" w:rsidRPr="001F64A7" w:rsidRDefault="001F64A7" w:rsidP="001F64A7">
      <w:r w:rsidRPr="001F64A7">
        <w:t xml:space="preserve">In the first nine months of the year, the PTO dealt with 2109 complaints and investigations, up 6% on the previous year to date. As a full year total, we received more complaints about major construction and metropolitan rail, with Rail Projects Victoria complaints rising by 32% and Metro by 29%. This increase in complaints reflects the amount of construction and upgrade occurring on the network and includes consumer frustration with planned and unplanned disruptions. The same period saw reduction in complaints about Transdev (-59%), Level Crossing Removal Project (-56%), Department of Transport (PTV) (-27%), </w:t>
      </w:r>
      <w:proofErr w:type="spellStart"/>
      <w:r w:rsidRPr="001F64A7">
        <w:t>Yarra</w:t>
      </w:r>
      <w:proofErr w:type="spellEnd"/>
      <w:r w:rsidRPr="001F64A7">
        <w:t xml:space="preserve"> Trams (-24%) and V/Line (-4%). The combination of Victoria’s Big Build, growing patronage and the shock of COVID-19 have led to a volatile year for members and the movement in complaints and investigations reported by the PTO (-13%) should be seen within the context of unprecedented change on the network.</w:t>
      </w:r>
    </w:p>
    <w:p w14:paraId="0EF28EC1" w14:textId="77777777" w:rsidR="001F64A7" w:rsidRPr="001F64A7" w:rsidRDefault="001F64A7" w:rsidP="001F64A7">
      <w:pPr>
        <w:pStyle w:val="Heading2"/>
      </w:pPr>
      <w:r w:rsidRPr="001F64A7">
        <w:t>COVID-19</w:t>
      </w:r>
    </w:p>
    <w:p w14:paraId="6AF53310" w14:textId="55DADB7A" w:rsidR="001F64A7" w:rsidRPr="001F64A7" w:rsidRDefault="001F64A7" w:rsidP="001F64A7">
      <w:r w:rsidRPr="001F64A7">
        <w:t>Passenger trips decreased in line with COVID-19 restrictions, complaints to the PTO decreased as did the proportion of service delivery complaints. We recorded 215 issues where consumers said COVID-19 was relevant to why they had approached us, most involved ticketing (51%) and these included concerns about processing of refunds and sorting out myki Passes. Concerns about social distancing, including overcrowding and expectations that more should be done to promote or enforce distancing was the next main issue for consumers (27%). Less common were concerns about hygiene and cleaning on vehicles and network assets (7%). The issues may change as restrictions lift and patronage returns, we continue to collect data and provide information to members involved in operating services and network planning.</w:t>
      </w:r>
    </w:p>
    <w:p w14:paraId="5BB4EDFD" w14:textId="77777777" w:rsidR="001F64A7" w:rsidRPr="001F64A7" w:rsidRDefault="001F64A7" w:rsidP="001F64A7">
      <w:pPr>
        <w:pStyle w:val="Heading2"/>
      </w:pPr>
      <w:r w:rsidRPr="001F64A7">
        <w:t>Investigations</w:t>
      </w:r>
    </w:p>
    <w:p w14:paraId="471AE272" w14:textId="77777777" w:rsidR="001F64A7" w:rsidRPr="001F64A7" w:rsidRDefault="001F64A7" w:rsidP="001F64A7">
      <w:r w:rsidRPr="001F64A7">
        <w:t xml:space="preserve">The PTO commenced 472 investigations, 109 less than last year. The reduction was more pronounced during the response to the COVID-19 pandemic. In the last quarter we commenced 91 investigations compared to 159 in the same quarter last year. </w:t>
      </w:r>
    </w:p>
    <w:p w14:paraId="6D6DF997" w14:textId="77777777" w:rsidR="001F64A7" w:rsidRPr="001F64A7" w:rsidRDefault="001F64A7" w:rsidP="001F64A7">
      <w:r w:rsidRPr="001F64A7">
        <w:t>The top issues contributing to disputes investigated were in the following categories:</w:t>
      </w:r>
    </w:p>
    <w:p w14:paraId="2F0D0F51" w14:textId="77777777" w:rsidR="001F64A7" w:rsidRPr="001F64A7" w:rsidRDefault="001F64A7" w:rsidP="00E30CDF">
      <w:pPr>
        <w:pStyle w:val="ListParagraph"/>
        <w:numPr>
          <w:ilvl w:val="0"/>
          <w:numId w:val="28"/>
        </w:numPr>
      </w:pPr>
      <w:r w:rsidRPr="001F64A7">
        <w:t>Staff: 590 issues</w:t>
      </w:r>
    </w:p>
    <w:p w14:paraId="23115AD6" w14:textId="77777777" w:rsidR="001F64A7" w:rsidRPr="001F64A7" w:rsidRDefault="001F64A7" w:rsidP="00E30CDF">
      <w:pPr>
        <w:pStyle w:val="ListParagraph"/>
        <w:numPr>
          <w:ilvl w:val="0"/>
          <w:numId w:val="28"/>
        </w:numPr>
      </w:pPr>
      <w:r w:rsidRPr="001F64A7">
        <w:lastRenderedPageBreak/>
        <w:t>Myki: 310 issues</w:t>
      </w:r>
    </w:p>
    <w:p w14:paraId="6BD6975C" w14:textId="77777777" w:rsidR="001F64A7" w:rsidRPr="001F64A7" w:rsidRDefault="001F64A7" w:rsidP="00E30CDF">
      <w:pPr>
        <w:pStyle w:val="ListParagraph"/>
        <w:numPr>
          <w:ilvl w:val="0"/>
          <w:numId w:val="28"/>
        </w:numPr>
      </w:pPr>
      <w:r w:rsidRPr="001F64A7">
        <w:t>Service Delivery: 226 issues</w:t>
      </w:r>
    </w:p>
    <w:p w14:paraId="22799989" w14:textId="77777777" w:rsidR="001F64A7" w:rsidRPr="001F64A7" w:rsidRDefault="001F64A7" w:rsidP="00E30CDF">
      <w:pPr>
        <w:pStyle w:val="ListParagraph"/>
        <w:numPr>
          <w:ilvl w:val="0"/>
          <w:numId w:val="28"/>
        </w:numPr>
      </w:pPr>
      <w:r w:rsidRPr="001F64A7">
        <w:t>Land and Infrastructure: 107 issues</w:t>
      </w:r>
    </w:p>
    <w:p w14:paraId="2E03F303" w14:textId="77777777" w:rsidR="001F64A7" w:rsidRPr="001F64A7" w:rsidRDefault="001F64A7" w:rsidP="00E30CDF">
      <w:pPr>
        <w:pStyle w:val="ListParagraph"/>
        <w:numPr>
          <w:ilvl w:val="0"/>
          <w:numId w:val="28"/>
        </w:numPr>
      </w:pPr>
      <w:r w:rsidRPr="001F64A7">
        <w:t>Trams, Trains and Buses: 56 issues</w:t>
      </w:r>
    </w:p>
    <w:p w14:paraId="688E968D" w14:textId="77777777" w:rsidR="001F64A7" w:rsidRPr="001F64A7" w:rsidRDefault="001F64A7" w:rsidP="001F64A7">
      <w:r w:rsidRPr="001F64A7">
        <w:t xml:space="preserve">It is understandable that staff issues like quality of response to a complaint (277), lack of response (98), and failure to action undertakings (20) are prevalent in investigations. The PTO investigates unresolved complaints when a member has had a prior opportunity to look into the matter and the consumer remains dissatisfied. Allegations of poor conduct accounted for 10% of staff issues (60) and should always be a focus for our members. </w:t>
      </w:r>
    </w:p>
    <w:p w14:paraId="41327E9B" w14:textId="77777777" w:rsidR="001F64A7" w:rsidRPr="001F64A7" w:rsidRDefault="001F64A7" w:rsidP="001F64A7">
      <w:r w:rsidRPr="001F64A7">
        <w:t>Myki issues featured in 160 investigations. The most common complaint issues were dissatisfaction with delays or calculations in refunds and reimbursements (101), and disputes about top-ups (39). COVID-19 caused consumers to reassess their pre-purchased myki Passes and seek refunds of myki Money balances. Many consumers were dissatisfied with the explanation of the value refunded on partially used Passes. More flexible and simple myki products may be required to meet consumer expectations as consumers return to the network under COVID-normal. One in ten myki investigations (19) involved mobile myki.</w:t>
      </w:r>
    </w:p>
    <w:p w14:paraId="492FE2EA" w14:textId="77777777" w:rsidR="001F64A7" w:rsidRPr="001F64A7" w:rsidRDefault="001F64A7" w:rsidP="001F64A7">
      <w:r w:rsidRPr="001F64A7">
        <w:t xml:space="preserve">Service delivery issues were present in 136 investigations, which is 46 less than last year due to COVID-19. The most common service delivery issues were reliability (41), disruption (29), information (27) and punctuality (26). </w:t>
      </w:r>
    </w:p>
    <w:p w14:paraId="4D210658" w14:textId="77777777" w:rsidR="001F64A7" w:rsidRPr="001F64A7" w:rsidRDefault="001F64A7" w:rsidP="001F64A7">
      <w:pPr>
        <w:pStyle w:val="Heading2"/>
      </w:pPr>
      <w:r w:rsidRPr="001F64A7">
        <w:t>Outcomes</w:t>
      </w:r>
    </w:p>
    <w:p w14:paraId="06FD47EC" w14:textId="77777777" w:rsidR="001F64A7" w:rsidRPr="001F64A7" w:rsidRDefault="001F64A7" w:rsidP="001F64A7">
      <w:r w:rsidRPr="001F64A7">
        <w:t xml:space="preserve">The PTO finalised 503 investigations, facilitating 397 conciliated settlements (79%). </w:t>
      </w:r>
    </w:p>
    <w:p w14:paraId="3DBCD611" w14:textId="77777777" w:rsidR="001F64A7" w:rsidRPr="001F64A7" w:rsidRDefault="001F64A7" w:rsidP="001F64A7">
      <w:r w:rsidRPr="001F64A7">
        <w:t xml:space="preserve">The PTO continued to provide a full service to consumers during the transition to working from home, with 66% of investigations finalised within 45 days, 83% finalised within 60 days and 94% finalised within 90 days. </w:t>
      </w:r>
    </w:p>
    <w:p w14:paraId="3FBE5C7B" w14:textId="77777777" w:rsidR="001F64A7" w:rsidRPr="001F64A7" w:rsidRDefault="001F64A7" w:rsidP="001F64A7">
      <w:r w:rsidRPr="001F64A7">
        <w:t xml:space="preserve">Resolutions achieved included a range of undertakings by members, such as changes to processes, apologies and retraining and counselling staff. Financial redress in the form of refunds, compensation or goodwill gestures totalled $28,305. </w:t>
      </w:r>
    </w:p>
    <w:p w14:paraId="243895DA" w14:textId="77777777" w:rsidR="001F64A7" w:rsidRPr="001F64A7" w:rsidRDefault="001F64A7" w:rsidP="001F64A7">
      <w:pPr>
        <w:pStyle w:val="Heading2"/>
      </w:pPr>
      <w:r w:rsidRPr="001F64A7">
        <w:t>Graham’s Story</w:t>
      </w:r>
    </w:p>
    <w:p w14:paraId="29D99387" w14:textId="77777777" w:rsidR="001F64A7" w:rsidRPr="001F64A7" w:rsidRDefault="001F64A7" w:rsidP="001F64A7">
      <w:r w:rsidRPr="001F64A7">
        <w:t xml:space="preserve">Graham contacted us after he had a negative interaction with a tram driver of a City Loop Circle Tram. </w:t>
      </w:r>
    </w:p>
    <w:p w14:paraId="1AFD78E3" w14:textId="77777777" w:rsidR="001F64A7" w:rsidRPr="001F64A7" w:rsidRDefault="001F64A7" w:rsidP="001F64A7">
      <w:r w:rsidRPr="001F64A7">
        <w:t xml:space="preserve">Graham had purchased a stick vacuum cleaner when shopping at the Docklands precinct, west of the city of Melbourne. The appliance came in a large box, and when Graham tried to board the tram, he was told he wasn’t allowed to and that trams weren’t for couriers. He explained to the driver that he wasn’t a courier but had simply purchased the appliance for himself. However, he still was not able to board the tram and had to find alternative transport home. </w:t>
      </w:r>
    </w:p>
    <w:p w14:paraId="091363F3" w14:textId="77777777" w:rsidR="001F64A7" w:rsidRPr="001F64A7" w:rsidRDefault="001F64A7" w:rsidP="001F64A7">
      <w:r w:rsidRPr="001F64A7">
        <w:t xml:space="preserve">Graham then contacted Yarra Trams to make a complaint about the tram driver, explaining his experience. When Yarra Trams first responded to him, they said they </w:t>
      </w:r>
      <w:r w:rsidRPr="001F64A7">
        <w:lastRenderedPageBreak/>
        <w:t xml:space="preserve">couldn’t find the driver he was referring to. They gave Graham advice confirming what the driver had said to him, that he was not allowed to board the tram with a large box. </w:t>
      </w:r>
    </w:p>
    <w:p w14:paraId="47EE1FB1" w14:textId="77777777" w:rsidR="001F64A7" w:rsidRPr="001F64A7" w:rsidRDefault="001F64A7" w:rsidP="001F64A7">
      <w:r w:rsidRPr="001F64A7">
        <w:t xml:space="preserve">Unhappy with this response, Graham contacted our office for advice and assistance. We contacted Yarra Trams on his behalf and worked with them to identify and locate the tram driver involved. Yarra Trams conceded that they did not condone the conduct of the tram driver, or the view about the size of the box allowed on trams from the initial response that had been given to Graham. </w:t>
      </w:r>
    </w:p>
    <w:p w14:paraId="46A328F9" w14:textId="77777777" w:rsidR="001F64A7" w:rsidRPr="001F64A7" w:rsidRDefault="001F64A7" w:rsidP="001F64A7">
      <w:r w:rsidRPr="001F64A7">
        <w:t xml:space="preserve">With assistance from our office, Yarra Trams offered Graham a goodwill gesture of movie tickets as an apology for his poor experience, which Graham was happy with. </w:t>
      </w:r>
    </w:p>
    <w:p w14:paraId="731FBA5A" w14:textId="3A3CB972" w:rsidR="00381033" w:rsidRDefault="00381033" w:rsidP="001F64A7">
      <w:pPr>
        <w:pStyle w:val="Heading2"/>
      </w:pPr>
      <w:r>
        <w:t xml:space="preserve">Callout shows: </w:t>
      </w:r>
    </w:p>
    <w:p w14:paraId="70C44A62" w14:textId="11ACF64E" w:rsidR="001F64A7" w:rsidRPr="001F64A7" w:rsidRDefault="001F64A7" w:rsidP="001F64A7">
      <w:r w:rsidRPr="001F64A7">
        <w:t>The top issues contributing to</w:t>
      </w:r>
      <w:r>
        <w:t xml:space="preserve"> </w:t>
      </w:r>
      <w:r w:rsidRPr="001F64A7">
        <w:t>disputes investigated were in the following categories:</w:t>
      </w:r>
    </w:p>
    <w:p w14:paraId="35668212" w14:textId="77777777" w:rsidR="001F64A7" w:rsidRPr="001F64A7" w:rsidRDefault="001F64A7" w:rsidP="00E30CDF">
      <w:pPr>
        <w:pStyle w:val="ListParagraph"/>
        <w:numPr>
          <w:ilvl w:val="0"/>
          <w:numId w:val="29"/>
        </w:numPr>
      </w:pPr>
      <w:r w:rsidRPr="001F64A7">
        <w:t>Staff: 590 issues</w:t>
      </w:r>
    </w:p>
    <w:p w14:paraId="3898B8BE" w14:textId="77777777" w:rsidR="001F64A7" w:rsidRPr="001F64A7" w:rsidRDefault="001F64A7" w:rsidP="00E30CDF">
      <w:pPr>
        <w:pStyle w:val="ListParagraph"/>
        <w:numPr>
          <w:ilvl w:val="0"/>
          <w:numId w:val="29"/>
        </w:numPr>
      </w:pPr>
      <w:r w:rsidRPr="001F64A7">
        <w:t>Myki: 310 issues</w:t>
      </w:r>
    </w:p>
    <w:p w14:paraId="55F42072" w14:textId="77777777" w:rsidR="001F64A7" w:rsidRPr="001F64A7" w:rsidRDefault="001F64A7" w:rsidP="00E30CDF">
      <w:pPr>
        <w:pStyle w:val="ListParagraph"/>
        <w:numPr>
          <w:ilvl w:val="0"/>
          <w:numId w:val="29"/>
        </w:numPr>
      </w:pPr>
      <w:r w:rsidRPr="001F64A7">
        <w:t>Service Delivery: 226 issues</w:t>
      </w:r>
    </w:p>
    <w:p w14:paraId="118DA3F0" w14:textId="77777777" w:rsidR="001F64A7" w:rsidRPr="001F64A7" w:rsidRDefault="001F64A7" w:rsidP="00E30CDF">
      <w:pPr>
        <w:pStyle w:val="ListParagraph"/>
        <w:numPr>
          <w:ilvl w:val="0"/>
          <w:numId w:val="29"/>
        </w:numPr>
      </w:pPr>
      <w:r w:rsidRPr="001F64A7">
        <w:t>Land and Infrastructure: 107 issues</w:t>
      </w:r>
    </w:p>
    <w:p w14:paraId="241EA6C3" w14:textId="2B262DBC" w:rsidR="005A413F" w:rsidRDefault="001F64A7" w:rsidP="00E30CDF">
      <w:pPr>
        <w:pStyle w:val="ListParagraph"/>
        <w:numPr>
          <w:ilvl w:val="0"/>
          <w:numId w:val="29"/>
        </w:numPr>
      </w:pPr>
      <w:r w:rsidRPr="001F64A7">
        <w:t>Trams, Trains and Buses: 56 issues</w:t>
      </w:r>
      <w:r>
        <w:t xml:space="preserve"> </w:t>
      </w:r>
      <w:r w:rsidR="005A413F">
        <w:br w:type="page"/>
      </w:r>
    </w:p>
    <w:p w14:paraId="2CAA6B56" w14:textId="77777777" w:rsidR="005A413F" w:rsidRDefault="005A413F" w:rsidP="005A413F">
      <w:pPr>
        <w:pStyle w:val="Heading1"/>
      </w:pPr>
      <w:bookmarkStart w:id="7" w:name="_Systemic_Issues"/>
      <w:bookmarkEnd w:id="7"/>
      <w:r>
        <w:lastRenderedPageBreak/>
        <w:t>Systemic Issues</w:t>
      </w:r>
    </w:p>
    <w:p w14:paraId="61294102" w14:textId="77777777" w:rsidR="00CD18A1" w:rsidRPr="00CD18A1" w:rsidRDefault="00CD18A1" w:rsidP="00CD18A1">
      <w:r w:rsidRPr="00CD18A1">
        <w:t xml:space="preserve">When the PTO identifies issues that may have the potential to impact a number of consumers, they can be raised as a systemic issue with a member. </w:t>
      </w:r>
    </w:p>
    <w:p w14:paraId="06AFDCE5" w14:textId="0CB8BD40" w:rsidR="00CD18A1" w:rsidRPr="00CD18A1" w:rsidRDefault="00CD18A1" w:rsidP="00CD18A1">
      <w:r w:rsidRPr="00CD18A1">
        <w:t xml:space="preserve">Issues come to our attention in various ways, including approaches to our office, inquiries through our </w:t>
      </w:r>
      <w:hyperlink r:id="rId12" w:history="1">
        <w:r w:rsidRPr="00482F25">
          <w:rPr>
            <w:rStyle w:val="Hyperlink"/>
          </w:rPr>
          <w:t>Have Your Say page</w:t>
        </w:r>
      </w:hyperlink>
      <w:r w:rsidRPr="00CD18A1">
        <w:t xml:space="preserve"> or via stakeholders from our many outreach activities. Once we have identified an issue as a systemic issue, we classify it into one of four categories:</w:t>
      </w:r>
    </w:p>
    <w:p w14:paraId="23B9F7A3" w14:textId="77777777" w:rsidR="00CD18A1" w:rsidRPr="00CD18A1" w:rsidRDefault="00CD18A1" w:rsidP="00E30CDF">
      <w:pPr>
        <w:pStyle w:val="ListParagraph"/>
        <w:numPr>
          <w:ilvl w:val="0"/>
          <w:numId w:val="30"/>
        </w:numPr>
      </w:pPr>
      <w:r w:rsidRPr="00CD18A1">
        <w:rPr>
          <w:b/>
          <w:bCs/>
        </w:rPr>
        <w:t>Improvement Opportunity</w:t>
      </w:r>
      <w:r w:rsidRPr="00CD18A1">
        <w:t xml:space="preserve"> </w:t>
      </w:r>
      <w:r w:rsidRPr="00CD18A1">
        <w:br/>
        <w:t>An informal process used to highlight a specific situation to an operator who may want to improve a current set of practices.</w:t>
      </w:r>
    </w:p>
    <w:p w14:paraId="305DF5C4" w14:textId="77777777" w:rsidR="00CD18A1" w:rsidRPr="00CD18A1" w:rsidRDefault="00CD18A1" w:rsidP="00E30CDF">
      <w:pPr>
        <w:pStyle w:val="ListParagraph"/>
        <w:numPr>
          <w:ilvl w:val="0"/>
          <w:numId w:val="30"/>
        </w:numPr>
      </w:pPr>
      <w:r w:rsidRPr="00CD18A1">
        <w:rPr>
          <w:b/>
          <w:bCs/>
        </w:rPr>
        <w:t xml:space="preserve">Systemic Enquiry </w:t>
      </w:r>
      <w:r w:rsidRPr="00CD18A1">
        <w:rPr>
          <w:b/>
          <w:bCs/>
        </w:rPr>
        <w:br/>
      </w:r>
      <w:r w:rsidRPr="00CD18A1">
        <w:t>A more formal process which involves using the information from the members to decide whether the issue has the potential to cause widespread or repeated detriment.</w:t>
      </w:r>
    </w:p>
    <w:p w14:paraId="1FAA39F8" w14:textId="77777777" w:rsidR="00CD18A1" w:rsidRPr="00CD18A1" w:rsidRDefault="00CD18A1" w:rsidP="00E30CDF">
      <w:pPr>
        <w:pStyle w:val="ListParagraph"/>
        <w:numPr>
          <w:ilvl w:val="0"/>
          <w:numId w:val="30"/>
        </w:numPr>
      </w:pPr>
      <w:r w:rsidRPr="00CD18A1">
        <w:rPr>
          <w:b/>
          <w:bCs/>
        </w:rPr>
        <w:t xml:space="preserve">Systemic Investigation </w:t>
      </w:r>
      <w:r w:rsidRPr="00CD18A1">
        <w:rPr>
          <w:b/>
          <w:bCs/>
        </w:rPr>
        <w:br/>
      </w:r>
      <w:r w:rsidRPr="00CD18A1">
        <w:t>A formal process involving a thorough analysis of complaint data, operator records and the operator’s response to understand the scale of an issue and means of stemming detriment and providing redress.</w:t>
      </w:r>
    </w:p>
    <w:p w14:paraId="3FE74762" w14:textId="77777777" w:rsidR="00CD18A1" w:rsidRPr="00CD18A1" w:rsidRDefault="00CD18A1" w:rsidP="00E30CDF">
      <w:pPr>
        <w:pStyle w:val="ListParagraph"/>
        <w:numPr>
          <w:ilvl w:val="0"/>
          <w:numId w:val="30"/>
        </w:numPr>
      </w:pPr>
      <w:r w:rsidRPr="00CD18A1">
        <w:rPr>
          <w:b/>
          <w:bCs/>
        </w:rPr>
        <w:t>Issues of Ongoing Interest</w:t>
      </w:r>
      <w:r w:rsidRPr="00CD18A1">
        <w:br/>
        <w:t xml:space="preserve">We monitor various sources of information over a period of time to understand the extent or impact of an issue and its nature. </w:t>
      </w:r>
    </w:p>
    <w:p w14:paraId="77114912" w14:textId="56E0F8AE" w:rsidR="00CD18A1" w:rsidRPr="00CD18A1" w:rsidRDefault="00CD18A1" w:rsidP="00CD18A1">
      <w:pPr>
        <w:pStyle w:val="Heading3"/>
      </w:pPr>
      <w:r w:rsidRPr="00CD18A1">
        <w:t xml:space="preserve">The following are the systemic issues that we have recorded over the past year. </w:t>
      </w:r>
    </w:p>
    <w:p w14:paraId="6D2D308C" w14:textId="77777777" w:rsidR="00CD18A1" w:rsidRPr="00CD18A1" w:rsidRDefault="00CD18A1" w:rsidP="00CD18A1">
      <w:r w:rsidRPr="00CD18A1">
        <w:t xml:space="preserve">We worked with our members to finalise a number of ongoing issues of interest raised in the previous year. This impact of COVID-19 on patronage and the number of approaches to the PTO Scheme then led to a reduced number of new issues raised with members compared to previous years. </w:t>
      </w:r>
    </w:p>
    <w:p w14:paraId="20CDDDC3" w14:textId="085B11CC" w:rsidR="00E108B0" w:rsidRPr="00E108B0" w:rsidRDefault="00E108B0" w:rsidP="00CD18A1">
      <w:pPr>
        <w:pStyle w:val="Heading3"/>
      </w:pPr>
      <w:r w:rsidRPr="00E108B0">
        <w:t>Improvement Opportunities:</w:t>
      </w:r>
    </w:p>
    <w:p w14:paraId="341463CE" w14:textId="77777777" w:rsidR="00CD18A1" w:rsidRPr="00CD18A1" w:rsidRDefault="00CD18A1" w:rsidP="00E30CDF">
      <w:pPr>
        <w:pStyle w:val="ListParagraph"/>
        <w:numPr>
          <w:ilvl w:val="0"/>
          <w:numId w:val="31"/>
        </w:numPr>
      </w:pPr>
      <w:r w:rsidRPr="00CD18A1">
        <w:t>Myki replacement process - no option to arrange a refund instead of a replacement card</w:t>
      </w:r>
    </w:p>
    <w:p w14:paraId="0D45A650" w14:textId="77777777" w:rsidR="00CD18A1" w:rsidRPr="00CD18A1" w:rsidRDefault="00CD18A1" w:rsidP="00E30CDF">
      <w:pPr>
        <w:pStyle w:val="ListParagraph"/>
        <w:numPr>
          <w:ilvl w:val="0"/>
          <w:numId w:val="31"/>
        </w:numPr>
      </w:pPr>
      <w:r w:rsidRPr="00CD18A1">
        <w:t>Mobile myki - request for myki to be submitted in order to process refund</w:t>
      </w:r>
    </w:p>
    <w:p w14:paraId="440A01AF" w14:textId="77777777" w:rsidR="00CD18A1" w:rsidRPr="00CD18A1" w:rsidRDefault="00CD18A1" w:rsidP="00E30CDF">
      <w:pPr>
        <w:pStyle w:val="ListParagraph"/>
        <w:numPr>
          <w:ilvl w:val="0"/>
          <w:numId w:val="31"/>
        </w:numPr>
      </w:pPr>
      <w:r w:rsidRPr="00CD18A1">
        <w:t>Monthly performance results not published by date determined under member Franchise Agreements</w:t>
      </w:r>
    </w:p>
    <w:p w14:paraId="56B68A35" w14:textId="77777777" w:rsidR="00CD18A1" w:rsidRPr="00CD18A1" w:rsidRDefault="00CD18A1" w:rsidP="00E30CDF">
      <w:pPr>
        <w:pStyle w:val="ListParagraph"/>
        <w:numPr>
          <w:ilvl w:val="0"/>
          <w:numId w:val="31"/>
        </w:numPr>
      </w:pPr>
      <w:r w:rsidRPr="00CD18A1">
        <w:t xml:space="preserve">Bus company policies and driver training regarding passengers boarding with Guide Dogs. </w:t>
      </w:r>
    </w:p>
    <w:p w14:paraId="4F64040A" w14:textId="1E1CECD6" w:rsidR="00E108B0" w:rsidRPr="00E108B0" w:rsidRDefault="00E108B0" w:rsidP="00CD18A1">
      <w:pPr>
        <w:pStyle w:val="Heading3"/>
      </w:pPr>
      <w:r w:rsidRPr="00E108B0">
        <w:t xml:space="preserve">Systemic </w:t>
      </w:r>
      <w:r w:rsidRPr="00CD18A1">
        <w:t>Enquiries</w:t>
      </w:r>
      <w:r w:rsidRPr="00E108B0">
        <w:t>:</w:t>
      </w:r>
    </w:p>
    <w:p w14:paraId="0AAA8946" w14:textId="77777777" w:rsidR="00CD18A1" w:rsidRPr="00CD18A1" w:rsidRDefault="00CD18A1" w:rsidP="00E30CDF">
      <w:pPr>
        <w:pStyle w:val="ListParagraph"/>
        <w:numPr>
          <w:ilvl w:val="0"/>
          <w:numId w:val="32"/>
        </w:numPr>
      </w:pPr>
      <w:r w:rsidRPr="00CD18A1">
        <w:t>Replacement bus service cancelled during planned disruption due to insufficient passenger numbers waiting for the service</w:t>
      </w:r>
    </w:p>
    <w:p w14:paraId="4B60ED97" w14:textId="77777777" w:rsidR="00CD18A1" w:rsidRPr="00CD18A1" w:rsidRDefault="00CD18A1" w:rsidP="00E30CDF">
      <w:pPr>
        <w:pStyle w:val="ListParagraph"/>
        <w:numPr>
          <w:ilvl w:val="0"/>
          <w:numId w:val="32"/>
        </w:numPr>
      </w:pPr>
      <w:r w:rsidRPr="00CD18A1">
        <w:t>Loud volume levels of PA systems at regional stations</w:t>
      </w:r>
    </w:p>
    <w:p w14:paraId="6087854E" w14:textId="77777777" w:rsidR="00CD18A1" w:rsidRPr="00CD18A1" w:rsidRDefault="00CD18A1" w:rsidP="00E30CDF">
      <w:pPr>
        <w:pStyle w:val="ListParagraph"/>
        <w:numPr>
          <w:ilvl w:val="0"/>
          <w:numId w:val="32"/>
        </w:numPr>
      </w:pPr>
      <w:r w:rsidRPr="00CD18A1">
        <w:t xml:space="preserve">Myki reader programmed with incorrect location resulting in fare charges during Early Bird travel period </w:t>
      </w:r>
    </w:p>
    <w:p w14:paraId="4A11FE2B" w14:textId="6A0DB077" w:rsidR="00CD18A1" w:rsidRDefault="00CD18A1" w:rsidP="00E30CDF">
      <w:pPr>
        <w:pStyle w:val="ListParagraph"/>
        <w:numPr>
          <w:ilvl w:val="0"/>
          <w:numId w:val="32"/>
        </w:numPr>
      </w:pPr>
      <w:r w:rsidRPr="00CD18A1">
        <w:t>Value of myki funds on unused myki cards</w:t>
      </w:r>
    </w:p>
    <w:p w14:paraId="2A37BFF7" w14:textId="37CC2E70" w:rsidR="00BC377A" w:rsidRPr="00CD18A1" w:rsidRDefault="00BC377A" w:rsidP="00E30CDF">
      <w:pPr>
        <w:pStyle w:val="ListParagraph"/>
        <w:numPr>
          <w:ilvl w:val="0"/>
          <w:numId w:val="32"/>
        </w:numPr>
      </w:pPr>
      <w:r w:rsidRPr="00CD18A1">
        <w:lastRenderedPageBreak/>
        <w:t>COVID-19 response to myki Pass holders ceasing travel.</w:t>
      </w:r>
    </w:p>
    <w:p w14:paraId="43C3482C" w14:textId="481E1EBA" w:rsidR="00CD18A1" w:rsidRDefault="00CD18A1" w:rsidP="00CD18A1">
      <w:pPr>
        <w:pStyle w:val="Heading2"/>
      </w:pPr>
      <w:r>
        <w:t xml:space="preserve">Systemic </w:t>
      </w:r>
      <w:r w:rsidRPr="00CD18A1">
        <w:t>Improvement</w:t>
      </w:r>
      <w:r>
        <w:t xml:space="preserve"> </w:t>
      </w:r>
      <w:r w:rsidRPr="00CD18A1">
        <w:t>Opportunity</w:t>
      </w:r>
    </w:p>
    <w:p w14:paraId="35B4A0DE" w14:textId="77777777" w:rsidR="00CD18A1" w:rsidRDefault="00CD18A1" w:rsidP="00CD18A1">
      <w:r>
        <w:t xml:space="preserve">We identified an improvement opportunity for </w:t>
      </w:r>
      <w:proofErr w:type="spellStart"/>
      <w:r>
        <w:t>Yarra</w:t>
      </w:r>
      <w:proofErr w:type="spellEnd"/>
      <w:r>
        <w:t xml:space="preserve"> Trams after there were delays in publishing their monthly performance results on their website. The Ombudsman considered that due to these delays there may be detriment caused to consumers.</w:t>
      </w:r>
    </w:p>
    <w:p w14:paraId="3779FC44" w14:textId="468D97EB" w:rsidR="00CD18A1" w:rsidRDefault="00CD18A1" w:rsidP="00CD18A1">
      <w:r>
        <w:t xml:space="preserve">Under the terms of </w:t>
      </w:r>
      <w:proofErr w:type="spellStart"/>
      <w:r>
        <w:t>Yarra</w:t>
      </w:r>
      <w:proofErr w:type="spellEnd"/>
      <w:r>
        <w:t xml:space="preserve"> Trams’ Passenger Compensation Code, performance results must be published no later than 10 days after the end of the month and eligible passengers have until the end of the month to apply for compensation. The Ombudsman was concerned that any delay in publishing these monthly results may mean that consumers were not given a fair opportunity to request compensation.</w:t>
      </w:r>
    </w:p>
    <w:p w14:paraId="5DCF87DB" w14:textId="77777777" w:rsidR="00CD18A1" w:rsidRDefault="00CD18A1" w:rsidP="00CD18A1">
      <w:proofErr w:type="spellStart"/>
      <w:r>
        <w:t>Yarra</w:t>
      </w:r>
      <w:proofErr w:type="spellEnd"/>
      <w:r>
        <w:t xml:space="preserve"> Trams explained that it is unable to publish performance results until they are released by the Department of Transport (DoT). </w:t>
      </w:r>
      <w:proofErr w:type="spellStart"/>
      <w:r>
        <w:t>Yarra</w:t>
      </w:r>
      <w:proofErr w:type="spellEnd"/>
      <w:r>
        <w:t xml:space="preserve"> Trams acknowledged that its Passenger Compensation Code does not state that the publication of results may be delayed beyond 10 days after the end of the month, depending on when DoT releases the results. </w:t>
      </w:r>
      <w:proofErr w:type="spellStart"/>
      <w:r>
        <w:t>Yarra</w:t>
      </w:r>
      <w:proofErr w:type="spellEnd"/>
      <w:r>
        <w:t xml:space="preserve"> Trams advised that the Code will be updated to reflect this. </w:t>
      </w:r>
    </w:p>
    <w:p w14:paraId="7D9BBD83" w14:textId="77777777" w:rsidR="00CD18A1" w:rsidRDefault="00CD18A1" w:rsidP="00CD18A1">
      <w:proofErr w:type="spellStart"/>
      <w:r>
        <w:t>Yarra</w:t>
      </w:r>
      <w:proofErr w:type="spellEnd"/>
      <w:r>
        <w:t xml:space="preserve"> Trams also agreed with the Ombudsman and advised that in the event of any future publishing delays, it will extend the date passengers can apply for compensation equal to the number of days the results have been delayed. </w:t>
      </w:r>
    </w:p>
    <w:p w14:paraId="0B201BB6" w14:textId="0D3C9283" w:rsidR="00CD18A1" w:rsidRDefault="00CD18A1" w:rsidP="00CD18A1">
      <w:pPr>
        <w:pStyle w:val="Heading2"/>
      </w:pPr>
      <w:r>
        <w:t>Systemic Enquiry</w:t>
      </w:r>
    </w:p>
    <w:p w14:paraId="69D3D9AD" w14:textId="77777777" w:rsidR="00CD18A1" w:rsidRDefault="00CD18A1" w:rsidP="00CD18A1">
      <w:r>
        <w:t xml:space="preserve">The PTO raised an enquiry with PTV after an investigation of a consumer complaint identified issues that were potentially systemic. A consumer complained to the PTO that they were charged a myki Money fare during the Early Bird travel period (when travel is free). As part of the PTO’s investigation, PTV explained that a myki reader had been installed on the metropolitan train network but incorrectly programmed as being located on the regional train network. PTV refunded the consumer’s fare and all other consumers it identified as being impacted by the issue. PTV explained that it was exploring options to ensure that the problem did not happen again. </w:t>
      </w:r>
    </w:p>
    <w:p w14:paraId="7F52A367" w14:textId="77777777" w:rsidR="00CD18A1" w:rsidRDefault="00CD18A1" w:rsidP="00CD18A1">
      <w:r>
        <w:t xml:space="preserve">Given the issue had the potential to impact a number of consumers, the PTO sought further information from PTV under the systemic process about corrective measures introduced to prevent the issue from recurring. </w:t>
      </w:r>
    </w:p>
    <w:p w14:paraId="2053934B" w14:textId="77777777" w:rsidR="00CD18A1" w:rsidRDefault="00CD18A1" w:rsidP="00CD18A1">
      <w:r>
        <w:t xml:space="preserve">After meeting with PTV, we accepted that the issue was an isolated incident and PTV had introduced sufficient means to prevent the matter from happening again. </w:t>
      </w:r>
    </w:p>
    <w:p w14:paraId="246FC2C4" w14:textId="77777777" w:rsidR="00403E4A" w:rsidRDefault="00CD18A1" w:rsidP="00403E4A">
      <w:r>
        <w:t xml:space="preserve">When finalising the systemic enquiry, we suggested that the issue form part of PTV’s knowledge database so that any reviews of fare charges would rule out the possibility of a programming error when the location of the myki transaction is in dispute. </w:t>
      </w:r>
    </w:p>
    <w:p w14:paraId="2E8E839A" w14:textId="6E8FA853" w:rsidR="005C5532" w:rsidRPr="00403E4A" w:rsidRDefault="00CD18A1" w:rsidP="00403E4A">
      <w:pPr>
        <w:pStyle w:val="Heading1"/>
      </w:pPr>
      <w:bookmarkStart w:id="8" w:name="_In_the_community"/>
      <w:bookmarkEnd w:id="8"/>
      <w:r>
        <w:br w:type="page"/>
      </w:r>
      <w:r w:rsidR="005C5532">
        <w:lastRenderedPageBreak/>
        <w:t xml:space="preserve">In the </w:t>
      </w:r>
      <w:r w:rsidR="005C5532" w:rsidRPr="00403E4A">
        <w:t>community</w:t>
      </w:r>
    </w:p>
    <w:p w14:paraId="3D2B6290" w14:textId="124B586F" w:rsidR="00403E4A" w:rsidRPr="00403E4A" w:rsidRDefault="00403E4A" w:rsidP="00403E4A">
      <w:pPr>
        <w:rPr>
          <w:lang w:val="en-US"/>
        </w:rPr>
      </w:pPr>
      <w:r w:rsidRPr="00403E4A">
        <w:rPr>
          <w:lang w:val="en-US"/>
        </w:rPr>
        <w:t xml:space="preserve">We continue to raise awareness of the work we do by promoting our services in the community. While 2020 was a challenging year for outreach, with the COVID-19 pandemic impacting many events, we found new ways to reach our audience to show that our Scheme is easy to use and has no cost barriers (in accordance with the </w:t>
      </w:r>
      <w:hyperlink r:id="rId13" w:history="1">
        <w:r w:rsidRPr="00482F25">
          <w:rPr>
            <w:rStyle w:val="Hyperlink"/>
            <w:lang w:val="en-US"/>
          </w:rPr>
          <w:t>Benchmark of Accessibility</w:t>
        </w:r>
      </w:hyperlink>
      <w:r w:rsidRPr="00482F25">
        <w:rPr>
          <w:lang w:val="en-US"/>
        </w:rPr>
        <w:t>).</w:t>
      </w:r>
    </w:p>
    <w:p w14:paraId="447100A9" w14:textId="77777777" w:rsidR="00403E4A" w:rsidRPr="00403E4A" w:rsidRDefault="00403E4A" w:rsidP="00403E4A">
      <w:pPr>
        <w:rPr>
          <w:color w:val="185A7D"/>
          <w:lang w:val="en-US"/>
        </w:rPr>
      </w:pPr>
      <w:r w:rsidRPr="00403E4A">
        <w:rPr>
          <w:lang w:val="en-US"/>
        </w:rPr>
        <w:t>Throughout the year we engaged with the community, both in person and online, to simplify how consumers find out about and access our services ensuring that we reach those who need us most.</w:t>
      </w:r>
    </w:p>
    <w:p w14:paraId="3E331EC6" w14:textId="77777777" w:rsidR="00403E4A" w:rsidRPr="00403E4A" w:rsidRDefault="00403E4A" w:rsidP="00403E4A">
      <w:pPr>
        <w:pStyle w:val="Heading2"/>
        <w:rPr>
          <w:lang w:val="en-US"/>
        </w:rPr>
      </w:pPr>
      <w:r w:rsidRPr="00403E4A">
        <w:rPr>
          <w:lang w:val="en-US"/>
        </w:rPr>
        <w:t xml:space="preserve">DRC Workshops </w:t>
      </w:r>
    </w:p>
    <w:p w14:paraId="4A30616E" w14:textId="77777777" w:rsidR="00403E4A" w:rsidRPr="00403E4A" w:rsidRDefault="00403E4A" w:rsidP="00403E4A">
      <w:pPr>
        <w:rPr>
          <w:lang w:val="en-US"/>
        </w:rPr>
      </w:pPr>
      <w:r w:rsidRPr="00403E4A">
        <w:rPr>
          <w:lang w:val="en-US"/>
        </w:rPr>
        <w:t>Before the onset of the COVID-19 lockdown in March, PTO staff attended a number of disability expos across metropolitan and regional Victoria to provide information about our services, record complaints and get first-hand information about systemic accessibility challenges on public transport. These included the Valid ‘Having A Say’ Disability Expo in Geelong and the Disability Resource Centre (DRC) disability and accessibility forums in Gippsland (</w:t>
      </w:r>
      <w:proofErr w:type="spellStart"/>
      <w:r w:rsidRPr="00403E4A">
        <w:rPr>
          <w:lang w:val="en-US"/>
        </w:rPr>
        <w:t>Traralgon</w:t>
      </w:r>
      <w:proofErr w:type="spellEnd"/>
      <w:r w:rsidRPr="00403E4A">
        <w:rPr>
          <w:lang w:val="en-US"/>
        </w:rPr>
        <w:t xml:space="preserve"> and Sale).</w:t>
      </w:r>
    </w:p>
    <w:p w14:paraId="3D168816" w14:textId="77777777" w:rsidR="00403E4A" w:rsidRPr="00403E4A" w:rsidRDefault="00403E4A" w:rsidP="00403E4A">
      <w:pPr>
        <w:rPr>
          <w:lang w:val="en-US"/>
        </w:rPr>
      </w:pPr>
      <w:r w:rsidRPr="00403E4A">
        <w:rPr>
          <w:lang w:val="en-US"/>
        </w:rPr>
        <w:t xml:space="preserve">After the DRC workshops moved online due to the COVID-19 restrictions, we participated in a virtual workshop on accessibility, speaking to the panel about the cases PTO has seen throughout the year and systemic issues that we have investigated. This gave us the opportunity to explain to the panel just why complaining is so important in helping us to identify and raise systemic issues to make improvements to the public transport system. </w:t>
      </w:r>
    </w:p>
    <w:p w14:paraId="246F86A4" w14:textId="77777777" w:rsidR="00403E4A" w:rsidRPr="00403E4A" w:rsidRDefault="00403E4A" w:rsidP="00403E4A">
      <w:pPr>
        <w:pStyle w:val="Heading2"/>
        <w:rPr>
          <w:lang w:val="en-US"/>
        </w:rPr>
      </w:pPr>
      <w:r w:rsidRPr="00403E4A">
        <w:rPr>
          <w:lang w:val="en-US"/>
        </w:rPr>
        <w:t xml:space="preserve">Victorian </w:t>
      </w:r>
      <w:r w:rsidRPr="00403E4A">
        <w:t>Law</w:t>
      </w:r>
      <w:r w:rsidRPr="00403E4A">
        <w:rPr>
          <w:lang w:val="en-US"/>
        </w:rPr>
        <w:t xml:space="preserve"> </w:t>
      </w:r>
      <w:r w:rsidRPr="00403E4A">
        <w:t>Week</w:t>
      </w:r>
      <w:r w:rsidRPr="00403E4A">
        <w:rPr>
          <w:lang w:val="en-US"/>
        </w:rPr>
        <w:t xml:space="preserve"> </w:t>
      </w:r>
    </w:p>
    <w:p w14:paraId="658D0277" w14:textId="0F8C1E2E" w:rsidR="00403E4A" w:rsidRPr="00403E4A" w:rsidRDefault="00403E4A" w:rsidP="00403E4A">
      <w:pPr>
        <w:rPr>
          <w:lang w:val="en-US"/>
        </w:rPr>
      </w:pPr>
      <w:r w:rsidRPr="00403E4A">
        <w:rPr>
          <w:lang w:val="en-US"/>
        </w:rPr>
        <w:t xml:space="preserve">As Victorian Law Week was also moved online due to COVID-19 restrictions, we developed a virtual event with the Ombudsman and the Victorian Law Foundation in Melbourne. With the aim of reaching a new and engaged audience online, we recorded </w:t>
      </w:r>
      <w:r w:rsidRPr="00482F25">
        <w:rPr>
          <w:lang w:val="en-US"/>
        </w:rPr>
        <w:t xml:space="preserve">a </w:t>
      </w:r>
      <w:hyperlink r:id="rId14" w:history="1">
        <w:r w:rsidRPr="00482F25">
          <w:rPr>
            <w:rStyle w:val="Hyperlink"/>
            <w:lang w:val="en-US"/>
          </w:rPr>
          <w:t>Q &amp; A session with former Ombudsman Treasure Jennings</w:t>
        </w:r>
      </w:hyperlink>
      <w:r w:rsidRPr="00482F25">
        <w:rPr>
          <w:lang w:val="en-US"/>
        </w:rPr>
        <w:t>,</w:t>
      </w:r>
      <w:r w:rsidRPr="00403E4A">
        <w:rPr>
          <w:lang w:val="en-US"/>
        </w:rPr>
        <w:t xml:space="preserve"> to explain how alternative dispute resolution schemes such as the PTO promote fair, free and fast access to justice and how we are continuing to take complaints and resolve issues during the pandemic.</w:t>
      </w:r>
    </w:p>
    <w:p w14:paraId="6DA4749B" w14:textId="77777777" w:rsidR="00403E4A" w:rsidRPr="00403E4A" w:rsidRDefault="00403E4A" w:rsidP="00403E4A">
      <w:pPr>
        <w:pStyle w:val="Heading2"/>
        <w:rPr>
          <w:lang w:val="en-US"/>
        </w:rPr>
      </w:pPr>
      <w:r w:rsidRPr="00403E4A">
        <w:rPr>
          <w:lang w:val="en-US"/>
        </w:rPr>
        <w:t>Social Media</w:t>
      </w:r>
    </w:p>
    <w:p w14:paraId="591A554B" w14:textId="77777777" w:rsidR="00403E4A" w:rsidRPr="00403E4A" w:rsidRDefault="00403E4A" w:rsidP="00403E4A">
      <w:pPr>
        <w:rPr>
          <w:lang w:val="en-US"/>
        </w:rPr>
      </w:pPr>
      <w:r w:rsidRPr="00403E4A">
        <w:rPr>
          <w:lang w:val="en-US"/>
        </w:rPr>
        <w:t xml:space="preserve">We expanded our social media presence beyond Facebook this year to include more channels such as Twitter, LinkedIn and Instagram. This provides consumers with another way to contact us or receive updates about public transport or consumer issues that may affect them. </w:t>
      </w:r>
    </w:p>
    <w:p w14:paraId="6247092B" w14:textId="77777777" w:rsidR="00403E4A" w:rsidRPr="00403E4A" w:rsidRDefault="00403E4A" w:rsidP="00403E4A">
      <w:pPr>
        <w:pStyle w:val="Heading2"/>
        <w:rPr>
          <w:lang w:val="en-US"/>
        </w:rPr>
      </w:pPr>
      <w:r w:rsidRPr="00403E4A">
        <w:rPr>
          <w:lang w:val="en-US"/>
        </w:rPr>
        <w:t xml:space="preserve">Outreach </w:t>
      </w:r>
    </w:p>
    <w:p w14:paraId="5A37982D" w14:textId="77777777" w:rsidR="00403E4A" w:rsidRPr="00403E4A" w:rsidRDefault="00403E4A" w:rsidP="00403E4A">
      <w:pPr>
        <w:rPr>
          <w:lang w:val="en-US"/>
        </w:rPr>
      </w:pPr>
      <w:r w:rsidRPr="00403E4A">
        <w:rPr>
          <w:lang w:val="en-US"/>
        </w:rPr>
        <w:t xml:space="preserve">We began the new year at university campuses across Melbourne to engage with students and staff, talking about their public transport issues and how they can involve our office when things go wrong. Myki and concession complaints featured strongly in </w:t>
      </w:r>
      <w:r w:rsidRPr="00403E4A">
        <w:rPr>
          <w:lang w:val="en-US"/>
        </w:rPr>
        <w:lastRenderedPageBreak/>
        <w:t xml:space="preserve">the issues raised with us, and we received lots of general feedback on the public transport system, both bad and good. </w:t>
      </w:r>
    </w:p>
    <w:p w14:paraId="21D5E338" w14:textId="77777777" w:rsidR="00403E4A" w:rsidRPr="00403E4A" w:rsidRDefault="00403E4A" w:rsidP="00403E4A">
      <w:pPr>
        <w:pStyle w:val="Heading2"/>
        <w:rPr>
          <w:lang w:val="en-US"/>
        </w:rPr>
      </w:pPr>
      <w:r w:rsidRPr="00403E4A">
        <w:rPr>
          <w:lang w:val="en-US"/>
        </w:rPr>
        <w:t xml:space="preserve">O-Week Survey </w:t>
      </w:r>
    </w:p>
    <w:p w14:paraId="257AB243" w14:textId="77777777" w:rsidR="00403E4A" w:rsidRPr="00403E4A" w:rsidRDefault="00403E4A" w:rsidP="00403E4A">
      <w:pPr>
        <w:rPr>
          <w:lang w:val="en-US"/>
        </w:rPr>
      </w:pPr>
      <w:r w:rsidRPr="00403E4A">
        <w:rPr>
          <w:lang w:val="en-US"/>
        </w:rPr>
        <w:t>One of the recommendations of the Scheme review was to increase awareness of the PTO and how people can access our services so we attended four University O-Week Market Day festivals across Melbourne. Because young people are more likely to have low complaint efficacy, we conducted a survey at these Universities to capture students’ knowledge of the PTO and our services, and to gain insight into their experiences with public transport.</w:t>
      </w:r>
    </w:p>
    <w:p w14:paraId="4747553B" w14:textId="5A0C7E1A" w:rsidR="00403E4A" w:rsidRDefault="00403E4A" w:rsidP="00403E4A">
      <w:pPr>
        <w:pStyle w:val="Heading1"/>
        <w:ind w:right="118"/>
      </w:pPr>
      <w:r>
        <w:t>Infographic shows highlights from the O-Week survey</w:t>
      </w:r>
      <w:r w:rsidR="00186D1A">
        <w:t>:</w:t>
      </w:r>
    </w:p>
    <w:p w14:paraId="39079B94" w14:textId="59EE4425" w:rsidR="00403E4A" w:rsidRPr="00186D1A" w:rsidRDefault="00186D1A" w:rsidP="00186D1A">
      <w:pPr>
        <w:pStyle w:val="Heading3"/>
      </w:pPr>
      <w:r w:rsidRPr="00186D1A">
        <w:t>Question: Did you know about the PTO?</w:t>
      </w:r>
    </w:p>
    <w:p w14:paraId="397A9FE3" w14:textId="77777777" w:rsidR="00186D1A" w:rsidRDefault="00186D1A" w:rsidP="00E30CDF">
      <w:pPr>
        <w:pStyle w:val="ListParagraph"/>
        <w:numPr>
          <w:ilvl w:val="0"/>
          <w:numId w:val="33"/>
        </w:numPr>
      </w:pPr>
      <w:r w:rsidRPr="00186D1A">
        <w:t>79.5%</w:t>
      </w:r>
      <w:r>
        <w:t xml:space="preserve"> of respondents said No. </w:t>
      </w:r>
    </w:p>
    <w:p w14:paraId="53CA256B" w14:textId="16D9B828" w:rsidR="00186D1A" w:rsidRPr="00186D1A" w:rsidRDefault="00186D1A" w:rsidP="00E30CDF">
      <w:pPr>
        <w:pStyle w:val="ListParagraph"/>
        <w:numPr>
          <w:ilvl w:val="0"/>
          <w:numId w:val="33"/>
        </w:numPr>
      </w:pPr>
      <w:r>
        <w:t>20.5% of respondents said Yes</w:t>
      </w:r>
    </w:p>
    <w:p w14:paraId="30BA27BA" w14:textId="60944E74" w:rsidR="00403E4A" w:rsidRDefault="00186D1A" w:rsidP="00186D1A">
      <w:pPr>
        <w:pStyle w:val="Heading3"/>
      </w:pPr>
      <w:r w:rsidRPr="00186D1A">
        <w:t>Question: Have you ever had a complaint about</w:t>
      </w:r>
      <w:r>
        <w:t xml:space="preserve"> </w:t>
      </w:r>
      <w:r w:rsidRPr="00186D1A">
        <w:t>public transport?</w:t>
      </w:r>
    </w:p>
    <w:p w14:paraId="05EA3DE1" w14:textId="507A616B" w:rsidR="00186D1A" w:rsidRDefault="00186D1A" w:rsidP="00E30CDF">
      <w:pPr>
        <w:pStyle w:val="ListParagraph"/>
        <w:numPr>
          <w:ilvl w:val="0"/>
          <w:numId w:val="33"/>
        </w:numPr>
      </w:pPr>
      <w:r>
        <w:t>61.1</w:t>
      </w:r>
      <w:r w:rsidRPr="00186D1A">
        <w:t>%</w:t>
      </w:r>
      <w:r>
        <w:t xml:space="preserve"> of respondents said Yes. </w:t>
      </w:r>
    </w:p>
    <w:p w14:paraId="06549B7C" w14:textId="7F696F27" w:rsidR="00186D1A" w:rsidRPr="00186D1A" w:rsidRDefault="00186D1A" w:rsidP="00E30CDF">
      <w:pPr>
        <w:pStyle w:val="ListParagraph"/>
        <w:numPr>
          <w:ilvl w:val="0"/>
          <w:numId w:val="33"/>
        </w:numPr>
      </w:pPr>
      <w:r>
        <w:t>38.9% of respondents said No</w:t>
      </w:r>
    </w:p>
    <w:p w14:paraId="4C90F5FE" w14:textId="169F9A6F" w:rsidR="00403E4A" w:rsidRDefault="00186D1A" w:rsidP="00186D1A">
      <w:pPr>
        <w:pStyle w:val="Heading3"/>
      </w:pPr>
      <w:r w:rsidRPr="00186D1A">
        <w:t>Question:</w:t>
      </w:r>
      <w:r>
        <w:t xml:space="preserve"> </w:t>
      </w:r>
      <w:r w:rsidRPr="00186D1A">
        <w:t>If yes, did your complaint relate to any of the below issues?</w:t>
      </w:r>
    </w:p>
    <w:p w14:paraId="03F458BD" w14:textId="5722C1B4" w:rsidR="00186D1A" w:rsidRDefault="00186D1A" w:rsidP="00E30CDF">
      <w:pPr>
        <w:pStyle w:val="ListParagraph"/>
        <w:numPr>
          <w:ilvl w:val="0"/>
          <w:numId w:val="34"/>
        </w:numPr>
      </w:pPr>
      <w:r>
        <w:t>32.6%</w:t>
      </w:r>
      <w:r w:rsidRPr="00186D1A">
        <w:t xml:space="preserve"> </w:t>
      </w:r>
      <w:r>
        <w:t xml:space="preserve">of respondents selected </w:t>
      </w:r>
      <w:r w:rsidRPr="00B81431">
        <w:rPr>
          <w:i/>
          <w:iCs/>
        </w:rPr>
        <w:t>Ticketing/Fines</w:t>
      </w:r>
    </w:p>
    <w:p w14:paraId="1FAD6A9C" w14:textId="5E16F729" w:rsidR="00186D1A" w:rsidRDefault="00186D1A" w:rsidP="00E30CDF">
      <w:pPr>
        <w:pStyle w:val="ListParagraph"/>
        <w:numPr>
          <w:ilvl w:val="0"/>
          <w:numId w:val="34"/>
        </w:numPr>
      </w:pPr>
      <w:r>
        <w:t>31.9% of</w:t>
      </w:r>
      <w:r w:rsidRPr="00186D1A">
        <w:t xml:space="preserve"> </w:t>
      </w:r>
      <w:r>
        <w:t xml:space="preserve">respondents selected </w:t>
      </w:r>
      <w:r w:rsidRPr="00B81431">
        <w:rPr>
          <w:i/>
          <w:iCs/>
        </w:rPr>
        <w:t>Trains, trams or buses</w:t>
      </w:r>
    </w:p>
    <w:p w14:paraId="7C146B6F" w14:textId="5DA605E4" w:rsidR="00186D1A" w:rsidRDefault="00186D1A" w:rsidP="00E30CDF">
      <w:pPr>
        <w:pStyle w:val="ListParagraph"/>
        <w:numPr>
          <w:ilvl w:val="0"/>
          <w:numId w:val="34"/>
        </w:numPr>
      </w:pPr>
      <w:r>
        <w:t>25.2%</w:t>
      </w:r>
      <w:r w:rsidRPr="00186D1A">
        <w:t xml:space="preserve"> </w:t>
      </w:r>
      <w:r>
        <w:t xml:space="preserve">of respondents selected </w:t>
      </w:r>
      <w:r w:rsidRPr="00B81431">
        <w:rPr>
          <w:i/>
          <w:iCs/>
        </w:rPr>
        <w:t>Service delivery</w:t>
      </w:r>
    </w:p>
    <w:p w14:paraId="1D6BE693" w14:textId="7670EA1C" w:rsidR="00186D1A" w:rsidRDefault="00186D1A" w:rsidP="00E30CDF">
      <w:pPr>
        <w:pStyle w:val="ListParagraph"/>
        <w:numPr>
          <w:ilvl w:val="0"/>
          <w:numId w:val="34"/>
        </w:numPr>
      </w:pPr>
      <w:r>
        <w:t>21.5%</w:t>
      </w:r>
      <w:r w:rsidRPr="00186D1A">
        <w:t xml:space="preserve"> </w:t>
      </w:r>
      <w:r>
        <w:t xml:space="preserve">of respondents selected </w:t>
      </w:r>
      <w:r w:rsidRPr="00B81431">
        <w:rPr>
          <w:i/>
          <w:iCs/>
        </w:rPr>
        <w:t>Travel concessions</w:t>
      </w:r>
    </w:p>
    <w:p w14:paraId="1B8CD97D" w14:textId="3E4F3E74" w:rsidR="00186D1A" w:rsidRDefault="00186D1A" w:rsidP="00E30CDF">
      <w:pPr>
        <w:pStyle w:val="ListParagraph"/>
        <w:numPr>
          <w:ilvl w:val="0"/>
          <w:numId w:val="34"/>
        </w:numPr>
      </w:pPr>
      <w:r>
        <w:t>16.3%</w:t>
      </w:r>
      <w:r w:rsidRPr="00186D1A">
        <w:t xml:space="preserve"> </w:t>
      </w:r>
      <w:r>
        <w:t xml:space="preserve">of respondents selected </w:t>
      </w:r>
      <w:r w:rsidRPr="00B81431">
        <w:rPr>
          <w:i/>
          <w:iCs/>
        </w:rPr>
        <w:t>Accessibility</w:t>
      </w:r>
    </w:p>
    <w:p w14:paraId="662E8094" w14:textId="3537D214" w:rsidR="00186D1A" w:rsidRDefault="00186D1A" w:rsidP="00E30CDF">
      <w:pPr>
        <w:pStyle w:val="ListParagraph"/>
        <w:numPr>
          <w:ilvl w:val="0"/>
          <w:numId w:val="34"/>
        </w:numPr>
      </w:pPr>
      <w:r>
        <w:t xml:space="preserve">14.8% of respondents selected </w:t>
      </w:r>
      <w:r w:rsidRPr="00B81431">
        <w:rPr>
          <w:i/>
          <w:iCs/>
        </w:rPr>
        <w:t>Public transport staff</w:t>
      </w:r>
    </w:p>
    <w:p w14:paraId="3108A0A4" w14:textId="1B68EC66" w:rsidR="00186D1A" w:rsidRDefault="00186D1A" w:rsidP="00E30CDF">
      <w:pPr>
        <w:pStyle w:val="ListParagraph"/>
        <w:numPr>
          <w:ilvl w:val="0"/>
          <w:numId w:val="34"/>
        </w:numPr>
      </w:pPr>
      <w:r>
        <w:t>11.9%</w:t>
      </w:r>
      <w:r w:rsidRPr="00186D1A">
        <w:t xml:space="preserve"> </w:t>
      </w:r>
      <w:r>
        <w:t xml:space="preserve">of respondents selected </w:t>
      </w:r>
      <w:r w:rsidRPr="00B81431">
        <w:rPr>
          <w:i/>
          <w:iCs/>
        </w:rPr>
        <w:t>Other</w:t>
      </w:r>
    </w:p>
    <w:p w14:paraId="418D0D47" w14:textId="243EFC6A" w:rsidR="00186D1A" w:rsidRDefault="00186D1A" w:rsidP="00186D1A">
      <w:pPr>
        <w:pStyle w:val="Heading3"/>
      </w:pPr>
      <w:r w:rsidRPr="00186D1A">
        <w:t>Question:</w:t>
      </w:r>
      <w:r>
        <w:t xml:space="preserve"> </w:t>
      </w:r>
      <w:r w:rsidRPr="00186D1A">
        <w:t>What could we do to make it easier for you to contact us if you have a complaint about public transport?</w:t>
      </w:r>
    </w:p>
    <w:p w14:paraId="778D99C2" w14:textId="34C2A603" w:rsidR="00403E4A" w:rsidRDefault="00B81431" w:rsidP="00E30CDF">
      <w:pPr>
        <w:pStyle w:val="ListParagraph"/>
        <w:numPr>
          <w:ilvl w:val="0"/>
          <w:numId w:val="35"/>
        </w:numPr>
      </w:pPr>
      <w:r>
        <w:t>49.5%</w:t>
      </w:r>
      <w:r w:rsidRPr="00B81431">
        <w:t xml:space="preserve"> </w:t>
      </w:r>
      <w:r>
        <w:t xml:space="preserve">of respondents selected </w:t>
      </w:r>
      <w:r w:rsidRPr="00B81431">
        <w:rPr>
          <w:i/>
          <w:iCs/>
        </w:rPr>
        <w:t xml:space="preserve">Information at stations </w:t>
      </w:r>
      <w:r>
        <w:rPr>
          <w:i/>
          <w:iCs/>
        </w:rPr>
        <w:t>and</w:t>
      </w:r>
      <w:r w:rsidRPr="00B81431">
        <w:rPr>
          <w:i/>
          <w:iCs/>
        </w:rPr>
        <w:t xml:space="preserve"> on trains, trams </w:t>
      </w:r>
      <w:r>
        <w:rPr>
          <w:i/>
          <w:iCs/>
        </w:rPr>
        <w:t>and</w:t>
      </w:r>
      <w:r w:rsidRPr="00B81431">
        <w:rPr>
          <w:i/>
          <w:iCs/>
        </w:rPr>
        <w:t xml:space="preserve"> buses</w:t>
      </w:r>
    </w:p>
    <w:p w14:paraId="19D060E9" w14:textId="59959B74" w:rsidR="00B81431" w:rsidRPr="00B81431" w:rsidRDefault="00B81431" w:rsidP="00E30CDF">
      <w:pPr>
        <w:pStyle w:val="ListParagraph"/>
        <w:numPr>
          <w:ilvl w:val="0"/>
          <w:numId w:val="35"/>
        </w:numPr>
        <w:rPr>
          <w:i/>
          <w:iCs/>
        </w:rPr>
      </w:pPr>
      <w:r>
        <w:t xml:space="preserve">45.8% of respondents selected </w:t>
      </w:r>
      <w:r w:rsidRPr="00B81431">
        <w:rPr>
          <w:i/>
          <w:iCs/>
        </w:rPr>
        <w:t>More information about PTO on campus</w:t>
      </w:r>
    </w:p>
    <w:p w14:paraId="5E60DEBD" w14:textId="23C92230" w:rsidR="00B81431" w:rsidRPr="00B81431" w:rsidRDefault="00B81431" w:rsidP="00E30CDF">
      <w:pPr>
        <w:pStyle w:val="ListParagraph"/>
        <w:numPr>
          <w:ilvl w:val="0"/>
          <w:numId w:val="35"/>
        </w:numPr>
        <w:rPr>
          <w:i/>
          <w:iCs/>
        </w:rPr>
      </w:pPr>
      <w:r>
        <w:t xml:space="preserve">32.2% of respondents selected </w:t>
      </w:r>
      <w:r w:rsidRPr="00B81431">
        <w:rPr>
          <w:i/>
          <w:iCs/>
        </w:rPr>
        <w:t>Stronger social media presence</w:t>
      </w:r>
    </w:p>
    <w:p w14:paraId="12287F61" w14:textId="29430C25" w:rsidR="00B81431" w:rsidRPr="00B81431" w:rsidRDefault="00B81431" w:rsidP="00E30CDF">
      <w:pPr>
        <w:pStyle w:val="ListParagraph"/>
        <w:numPr>
          <w:ilvl w:val="0"/>
          <w:numId w:val="35"/>
        </w:numPr>
        <w:rPr>
          <w:i/>
          <w:iCs/>
        </w:rPr>
      </w:pPr>
      <w:r>
        <w:t xml:space="preserve">32.6% of respondents selected </w:t>
      </w:r>
      <w:r w:rsidRPr="00B81431">
        <w:rPr>
          <w:i/>
          <w:iCs/>
        </w:rPr>
        <w:t>More info about PTO online</w:t>
      </w:r>
    </w:p>
    <w:p w14:paraId="1BBB9058" w14:textId="6B1B65BF" w:rsidR="00B81431" w:rsidRPr="00B81431" w:rsidRDefault="00B81431" w:rsidP="00E30CDF">
      <w:pPr>
        <w:pStyle w:val="ListParagraph"/>
        <w:numPr>
          <w:ilvl w:val="0"/>
          <w:numId w:val="35"/>
        </w:numPr>
        <w:rPr>
          <w:i/>
          <w:iCs/>
        </w:rPr>
      </w:pPr>
      <w:r>
        <w:t xml:space="preserve">5.3% of respondents selected </w:t>
      </w:r>
      <w:r w:rsidRPr="00B81431">
        <w:rPr>
          <w:i/>
          <w:iCs/>
        </w:rPr>
        <w:t>Nothing</w:t>
      </w:r>
    </w:p>
    <w:p w14:paraId="5E159F3F" w14:textId="4EAC0B81" w:rsidR="00B81431" w:rsidRPr="00B81431" w:rsidRDefault="00B81431" w:rsidP="00E30CDF">
      <w:pPr>
        <w:pStyle w:val="ListParagraph"/>
        <w:numPr>
          <w:ilvl w:val="0"/>
          <w:numId w:val="35"/>
        </w:numPr>
        <w:rPr>
          <w:i/>
          <w:iCs/>
        </w:rPr>
      </w:pPr>
      <w:r>
        <w:t xml:space="preserve">1% of respondents selected </w:t>
      </w:r>
      <w:r w:rsidRPr="00B81431">
        <w:rPr>
          <w:i/>
          <w:iCs/>
        </w:rPr>
        <w:t>Other</w:t>
      </w:r>
    </w:p>
    <w:p w14:paraId="45C22107" w14:textId="2EAD7B25" w:rsidR="00954E1B" w:rsidRDefault="00954E1B">
      <w:pPr>
        <w:spacing w:before="0" w:beforeAutospacing="0" w:after="160" w:afterAutospacing="0" w:line="259" w:lineRule="auto"/>
      </w:pPr>
      <w:r>
        <w:br w:type="page"/>
      </w:r>
    </w:p>
    <w:p w14:paraId="1E95456F" w14:textId="3B7B6E45" w:rsidR="00954E1B" w:rsidRPr="00954E1B" w:rsidRDefault="00954E1B" w:rsidP="00954E1B">
      <w:pPr>
        <w:pStyle w:val="Heading1"/>
      </w:pPr>
      <w:bookmarkStart w:id="9" w:name="_Accessibility_and_Inclusion"/>
      <w:bookmarkEnd w:id="9"/>
      <w:r w:rsidRPr="00954E1B">
        <w:lastRenderedPageBreak/>
        <w:t>Accessibility and Inclusion</w:t>
      </w:r>
    </w:p>
    <w:p w14:paraId="48083CF7" w14:textId="77777777" w:rsidR="00954E1B" w:rsidRDefault="00954E1B" w:rsidP="00954E1B">
      <w:r w:rsidRPr="00954E1B">
        <w:t xml:space="preserve">The accessibility of public transport continues to be a major focus of the work we do. Accessible public transport is essential to meet the needs of everyone’s daily lives and support them to participate fully in the community, and we continue to implement new and improved ways to address this. </w:t>
      </w:r>
    </w:p>
    <w:p w14:paraId="7F17B0D6" w14:textId="55870425" w:rsidR="00954E1B" w:rsidRDefault="00954E1B" w:rsidP="00954E1B">
      <w:pPr>
        <w:pStyle w:val="Heading2"/>
      </w:pPr>
      <w:r>
        <w:t xml:space="preserve">Accessibility and Inclusion Action Plan </w:t>
      </w:r>
    </w:p>
    <w:p w14:paraId="4AE7EB2A" w14:textId="6C093D14" w:rsidR="00954E1B" w:rsidRDefault="00954E1B" w:rsidP="00954E1B">
      <w:r>
        <w:t xml:space="preserve">At the start of the year we developed a comprehensive </w:t>
      </w:r>
      <w:hyperlink r:id="rId15" w:history="1">
        <w:r w:rsidRPr="00482F25">
          <w:rPr>
            <w:rStyle w:val="Hyperlink"/>
          </w:rPr>
          <w:t>Accessibility and Inclusion Action Plan</w:t>
        </w:r>
      </w:hyperlink>
      <w:r>
        <w:t xml:space="preserve"> which includes measures for raising awareness of the PTO, engaging with people with disabilities and their advocates, reaching young people, those living in regional or rural Victoria and for people from non-English backgrounds.</w:t>
      </w:r>
    </w:p>
    <w:p w14:paraId="3E3599FA" w14:textId="77777777" w:rsidR="00954E1B" w:rsidRDefault="00954E1B" w:rsidP="00954E1B">
      <w:r>
        <w:t>Some of these measures include attending both metropolitan and regional disability expos, partnering with the Disability Resource Centre (DRC) to participate in regional public transport workshops and upgrading our website to make our systemic investigations process more accessible.</w:t>
      </w:r>
    </w:p>
    <w:p w14:paraId="2960DEFE" w14:textId="77777777" w:rsidR="00954E1B" w:rsidRDefault="00954E1B" w:rsidP="00954E1B">
      <w:pPr>
        <w:pStyle w:val="Heading2"/>
      </w:pPr>
      <w:proofErr w:type="spellStart"/>
      <w:r>
        <w:t>Auslan</w:t>
      </w:r>
      <w:proofErr w:type="spellEnd"/>
      <w:r>
        <w:t xml:space="preserve"> Video </w:t>
      </w:r>
    </w:p>
    <w:p w14:paraId="04578195" w14:textId="77777777" w:rsidR="00954E1B" w:rsidRDefault="00954E1B" w:rsidP="00954E1B">
      <w:r>
        <w:t xml:space="preserve">As part of the Public Transport Ombudsman Awareness Strategy for 2020 we are making it easier for people to contact us, including people with accessibility needs. </w:t>
      </w:r>
    </w:p>
    <w:p w14:paraId="2C12D34C" w14:textId="1310849D" w:rsidR="00954E1B" w:rsidRDefault="00954E1B" w:rsidP="00954E1B">
      <w:pPr>
        <w:rPr>
          <w:rStyle w:val="Hyperlink"/>
        </w:rPr>
      </w:pPr>
      <w:r>
        <w:t xml:space="preserve">This year we filmed a new </w:t>
      </w:r>
      <w:hyperlink r:id="rId16" w:history="1">
        <w:proofErr w:type="spellStart"/>
        <w:r w:rsidRPr="00482F25">
          <w:rPr>
            <w:rStyle w:val="Hyperlink"/>
          </w:rPr>
          <w:t>Auslan</w:t>
        </w:r>
        <w:proofErr w:type="spellEnd"/>
        <w:r w:rsidRPr="00482F25">
          <w:rPr>
            <w:rStyle w:val="Hyperlink"/>
          </w:rPr>
          <w:t xml:space="preserve"> video</w:t>
        </w:r>
      </w:hyperlink>
      <w:r>
        <w:t xml:space="preserve"> in spoken word and </w:t>
      </w:r>
      <w:proofErr w:type="spellStart"/>
      <w:r>
        <w:t>Auslan</w:t>
      </w:r>
      <w:proofErr w:type="spellEnd"/>
      <w:r>
        <w:t xml:space="preserve">, providing information about what we do and how people can access our service. The film was shot at various locations around Melbourne and Victoria on public transport with the assistance of </w:t>
      </w:r>
      <w:proofErr w:type="spellStart"/>
      <w:r>
        <w:t>Auslan</w:t>
      </w:r>
      <w:proofErr w:type="spellEnd"/>
      <w:r>
        <w:t xml:space="preserve"> interpreters. </w:t>
      </w:r>
      <w:proofErr w:type="spellStart"/>
      <w:r>
        <w:t>Auslan</w:t>
      </w:r>
      <w:proofErr w:type="spellEnd"/>
      <w:r>
        <w:t xml:space="preserve"> is the Australian sign language for people who are Deaf.</w:t>
      </w:r>
    </w:p>
    <w:p w14:paraId="6940DDDA" w14:textId="77777777" w:rsidR="00954E1B" w:rsidRDefault="00954E1B" w:rsidP="00954E1B">
      <w:pPr>
        <w:pStyle w:val="Heading2"/>
      </w:pPr>
      <w:r>
        <w:t xml:space="preserve">Have </w:t>
      </w:r>
      <w:r w:rsidRPr="00954E1B">
        <w:t>Your</w:t>
      </w:r>
      <w:r>
        <w:t xml:space="preserve"> Say </w:t>
      </w:r>
    </w:p>
    <w:p w14:paraId="788BECD4" w14:textId="77777777" w:rsidR="00954E1B" w:rsidRDefault="00954E1B" w:rsidP="00954E1B">
      <w:r>
        <w:t xml:space="preserve">Our systemic issues process is one way in which we can address systemic failings regarding accessibility and bring about improvements to the public transport system. We identify potential systemic issues through the complaints we receive, from advocacy or community organisations, and sometimes from the public transport operators themselves. </w:t>
      </w:r>
    </w:p>
    <w:p w14:paraId="2B096BCA" w14:textId="707B0177" w:rsidR="00954E1B" w:rsidRDefault="00954E1B" w:rsidP="00954E1B">
      <w:r>
        <w:t xml:space="preserve">To make it even easier for people to contact us about issues with public transport we implemented a </w:t>
      </w:r>
      <w:hyperlink r:id="rId17" w:history="1">
        <w:r w:rsidRPr="00482F25">
          <w:rPr>
            <w:rStyle w:val="Hyperlink"/>
          </w:rPr>
          <w:t>Have Your Say</w:t>
        </w:r>
      </w:hyperlink>
      <w:r>
        <w:t xml:space="preserve"> feature on our website. The feature allows us to capture issues from people who may not necessarily want to make a complaint but want to alert us to an issue with public transport they think may affect more people. Namely, a systemic issue. </w:t>
      </w:r>
    </w:p>
    <w:p w14:paraId="2378F814" w14:textId="77777777" w:rsidR="00954E1B" w:rsidRDefault="00954E1B" w:rsidP="00954E1B">
      <w:r>
        <w:t xml:space="preserve">After people leave the information about the issue, we then assess it to decide if it raises a systemic issue that needs to be addressed. </w:t>
      </w:r>
    </w:p>
    <w:p w14:paraId="72D1ECFB" w14:textId="77777777" w:rsidR="00954E1B" w:rsidRDefault="00954E1B" w:rsidP="00954E1B">
      <w:r>
        <w:t xml:space="preserve">Feedback from organisations like the DRC and Traveller’s Aid tells us that </w:t>
      </w:r>
      <w:proofErr w:type="spellStart"/>
      <w:r>
        <w:t>the</w:t>
      </w:r>
      <w:proofErr w:type="spellEnd"/>
      <w:r>
        <w:t xml:space="preserve"> </w:t>
      </w:r>
      <w:r>
        <w:rPr>
          <w:u w:val="thick"/>
        </w:rPr>
        <w:t>Have Your Say</w:t>
      </w:r>
      <w:r>
        <w:t xml:space="preserve"> page is an important step in reaching more people and providing easy access to vulnerable groups.</w:t>
      </w:r>
    </w:p>
    <w:p w14:paraId="7A7D5197" w14:textId="77777777" w:rsidR="00954E1B" w:rsidRPr="00954E1B" w:rsidRDefault="00954E1B" w:rsidP="00954E1B">
      <w:pPr>
        <w:pStyle w:val="Heading2"/>
      </w:pPr>
      <w:r w:rsidRPr="00954E1B">
        <w:lastRenderedPageBreak/>
        <w:t>Accessibility Bulletin 2020</w:t>
      </w:r>
    </w:p>
    <w:p w14:paraId="34B00A2A" w14:textId="6F9D5AD7" w:rsidR="00954E1B" w:rsidRPr="00954E1B" w:rsidRDefault="00954E1B" w:rsidP="00954E1B">
      <w:r w:rsidRPr="00954E1B">
        <w:t xml:space="preserve">In April, we released our second annual </w:t>
      </w:r>
      <w:hyperlink r:id="rId18" w:history="1">
        <w:r w:rsidRPr="00482F25">
          <w:rPr>
            <w:rStyle w:val="Hyperlink"/>
          </w:rPr>
          <w:t>Accessibility Bulletin</w:t>
        </w:r>
      </w:hyperlink>
      <w:r w:rsidRPr="00954E1B">
        <w:t>, which looked at some of the accessibility challenges facing Victorians using public transport, or who are affected by public transport works. The Bulletin explored some of the current issues with accessibility and the measures we are taking to make it easier for people to complain to us.</w:t>
      </w:r>
    </w:p>
    <w:p w14:paraId="6082ADEB" w14:textId="77777777" w:rsidR="00954E1B" w:rsidRPr="00954E1B" w:rsidRDefault="00954E1B" w:rsidP="00954E1B">
      <w:r w:rsidRPr="00954E1B">
        <w:t xml:space="preserve">Since 2014, complaints about accessibility of public transport have comprised between two to seven per cent of the total complaints we receive. We believe this figure under-represents the difficulties faced by some people accessing public transport. We continue to hear from advocacy agencies who tell us that people who are more vulnerable are very often unlikely or unwilling to complain when things go wrong. </w:t>
      </w:r>
    </w:p>
    <w:p w14:paraId="10570736" w14:textId="77777777" w:rsidR="00954E1B" w:rsidRPr="00954E1B" w:rsidRDefault="00954E1B" w:rsidP="00954E1B">
      <w:r w:rsidRPr="00954E1B">
        <w:t xml:space="preserve">Further to this, our research tells us that people with disabilities in particular are less likely to complain when things go wrong. Because of this, it is important that public transport is accessible and that our services are accessible to people when they want to make a complaint.  </w:t>
      </w:r>
    </w:p>
    <w:p w14:paraId="75BC593D" w14:textId="77777777" w:rsidR="00954E1B" w:rsidRPr="00954E1B" w:rsidRDefault="00954E1B" w:rsidP="00954E1B">
      <w:r w:rsidRPr="00954E1B">
        <w:t>We continued to build on our partnerships with organisations like the DRC to identify and address barriers to accessible public transport and make sure everyone feels they have a voice when it comes to complaining about public transport.</w:t>
      </w:r>
    </w:p>
    <w:p w14:paraId="55B862F5" w14:textId="77777777" w:rsidR="00954E1B" w:rsidRPr="00954E1B" w:rsidRDefault="00954E1B" w:rsidP="00954E1B">
      <w:pPr>
        <w:pStyle w:val="Heading2"/>
      </w:pPr>
      <w:r w:rsidRPr="00954E1B">
        <w:t>Travel Assistance Program</w:t>
      </w:r>
    </w:p>
    <w:p w14:paraId="1DB93D21" w14:textId="77777777" w:rsidR="00954E1B" w:rsidRPr="00954E1B" w:rsidRDefault="00954E1B" w:rsidP="00954E1B">
      <w:r w:rsidRPr="00954E1B">
        <w:t xml:space="preserve">This year saw the expansion of the award-winning Travel Assistance Program to more schools with the help of a grant from the State Government. We continued to work with </w:t>
      </w:r>
      <w:proofErr w:type="spellStart"/>
      <w:r w:rsidRPr="00954E1B">
        <w:t>WEstjustice</w:t>
      </w:r>
      <w:proofErr w:type="spellEnd"/>
      <w:r w:rsidRPr="00954E1B">
        <w:t xml:space="preserve"> and other partners to support students in the City of Wyndham who face challenges getting to school because of housing instability. </w:t>
      </w:r>
    </w:p>
    <w:p w14:paraId="666AD295" w14:textId="77777777" w:rsidR="00954E1B" w:rsidRPr="00954E1B" w:rsidRDefault="00954E1B" w:rsidP="00954E1B">
      <w:proofErr w:type="spellStart"/>
      <w:r w:rsidRPr="00954E1B">
        <w:t>WEstjustice</w:t>
      </w:r>
      <w:proofErr w:type="spellEnd"/>
      <w:r w:rsidRPr="00954E1B">
        <w:t xml:space="preserve"> continue to work on managing the program with the monthly vulnerable persons Pass, which is being trialled by the Department of Transport. We have continued to support the program to ensure all students on the program have the best support and travel outcomes. </w:t>
      </w:r>
    </w:p>
    <w:p w14:paraId="2B1D95CA" w14:textId="77777777" w:rsidR="00954E1B" w:rsidRPr="00954E1B" w:rsidRDefault="00954E1B" w:rsidP="00954E1B">
      <w:r w:rsidRPr="00954E1B">
        <w:t>Partners in the program include Victorian Council of Social Service, the Department of Education, the Department of Transport, the City of Wyndham and Metro. All members of the Steering Committee have an overriding commitment to support the students on the program to get the support they need and to continue their schooling.</w:t>
      </w:r>
    </w:p>
    <w:p w14:paraId="38178120" w14:textId="77777777" w:rsidR="00403E4A" w:rsidRDefault="00403E4A" w:rsidP="00403E4A"/>
    <w:p w14:paraId="34E132D1" w14:textId="4379F0CB" w:rsidR="005C5532" w:rsidRDefault="005C5532" w:rsidP="00403E4A">
      <w:r>
        <w:br w:type="page"/>
      </w:r>
    </w:p>
    <w:p w14:paraId="243F8460" w14:textId="6472E819" w:rsidR="00B36D25" w:rsidRDefault="00E0649A" w:rsidP="00237C86">
      <w:pPr>
        <w:pStyle w:val="Heading1"/>
        <w:ind w:right="118"/>
      </w:pPr>
      <w:bookmarkStart w:id="10" w:name="_Approaches_and_complaints"/>
      <w:bookmarkEnd w:id="10"/>
      <w:r w:rsidRPr="00CC2E64">
        <w:lastRenderedPageBreak/>
        <w:t>A</w:t>
      </w:r>
      <w:r w:rsidR="00237C86" w:rsidRPr="00CC2E64">
        <w:t xml:space="preserve">pproaches </w:t>
      </w:r>
      <w:r w:rsidR="009C50FD">
        <w:t>with issues</w:t>
      </w:r>
      <w:r w:rsidR="00237C86" w:rsidRPr="00CC2E64">
        <w:t xml:space="preserve"> by </w:t>
      </w:r>
      <w:r w:rsidR="00237C86">
        <w:t>PTO</w:t>
      </w:r>
      <w:r w:rsidR="00237C86" w:rsidRPr="00CC2E64">
        <w:t xml:space="preserve"> member </w:t>
      </w:r>
    </w:p>
    <w:p w14:paraId="35E77AA5" w14:textId="78EB591B" w:rsidR="00237C86" w:rsidRPr="00237C86" w:rsidRDefault="00B441E9" w:rsidP="00B441E9">
      <w:pPr>
        <w:pStyle w:val="Heading2"/>
      </w:pPr>
      <w:proofErr w:type="spellStart"/>
      <w:r w:rsidRPr="00237C86">
        <w:t>Bus</w:t>
      </w:r>
      <w:r>
        <w:t>V</w:t>
      </w:r>
      <w:r w:rsidRPr="00237C86">
        <w:t>ic</w:t>
      </w:r>
      <w:proofErr w:type="spellEnd"/>
      <w:r w:rsidR="00237C86" w:rsidRPr="00237C86">
        <w:tab/>
      </w:r>
    </w:p>
    <w:p w14:paraId="0C58E064" w14:textId="72293A73" w:rsidR="00237C86" w:rsidRPr="00237C86" w:rsidRDefault="00237C86" w:rsidP="00E30CDF">
      <w:pPr>
        <w:pStyle w:val="ListParagraph"/>
        <w:numPr>
          <w:ilvl w:val="0"/>
          <w:numId w:val="3"/>
        </w:numPr>
      </w:pPr>
      <w:r w:rsidRPr="00237C86">
        <w:t>Totals</w:t>
      </w:r>
      <w:r w:rsidR="00B441E9">
        <w:t xml:space="preserve"> </w:t>
      </w:r>
      <w:r w:rsidRPr="00237C86">
        <w:t>1</w:t>
      </w:r>
      <w:r w:rsidR="00954E1B">
        <w:t>2</w:t>
      </w:r>
      <w:r w:rsidRPr="00237C86">
        <w:t>8</w:t>
      </w:r>
    </w:p>
    <w:p w14:paraId="48A504A4" w14:textId="61BF6438" w:rsidR="00237C86" w:rsidRPr="00237C86" w:rsidRDefault="00237C86" w:rsidP="00E30CDF">
      <w:pPr>
        <w:pStyle w:val="ListParagraph"/>
        <w:numPr>
          <w:ilvl w:val="0"/>
          <w:numId w:val="3"/>
        </w:numPr>
      </w:pPr>
      <w:r w:rsidRPr="00237C86">
        <w:t>Investigation</w:t>
      </w:r>
      <w:r w:rsidR="00B441E9">
        <w:t xml:space="preserve"> </w:t>
      </w:r>
      <w:r w:rsidR="00954E1B">
        <w:t>41</w:t>
      </w:r>
    </w:p>
    <w:p w14:paraId="7DAFD6C6" w14:textId="54656E1A" w:rsidR="00237C86" w:rsidRPr="00237C86" w:rsidRDefault="00237C86" w:rsidP="00E30CDF">
      <w:pPr>
        <w:pStyle w:val="ListParagraph"/>
        <w:numPr>
          <w:ilvl w:val="0"/>
          <w:numId w:val="3"/>
        </w:numPr>
      </w:pPr>
      <w:r w:rsidRPr="00237C86">
        <w:t xml:space="preserve">Member </w:t>
      </w:r>
      <w:r w:rsidR="00B441E9">
        <w:t>–</w:t>
      </w:r>
      <w:r w:rsidRPr="00237C86">
        <w:t xml:space="preserve"> Complaint</w:t>
      </w:r>
      <w:r w:rsidR="00B441E9">
        <w:t xml:space="preserve"> </w:t>
      </w:r>
      <w:r w:rsidR="00954E1B">
        <w:t>74</w:t>
      </w:r>
    </w:p>
    <w:p w14:paraId="5DCF69E8" w14:textId="02BA8E0C" w:rsidR="00237C86" w:rsidRPr="00237C86" w:rsidRDefault="00237C86" w:rsidP="00E30CDF">
      <w:pPr>
        <w:pStyle w:val="ListParagraph"/>
        <w:numPr>
          <w:ilvl w:val="0"/>
          <w:numId w:val="3"/>
        </w:numPr>
      </w:pPr>
      <w:r w:rsidRPr="00237C86">
        <w:t xml:space="preserve">Member </w:t>
      </w:r>
      <w:r w:rsidR="00B441E9">
        <w:t>–</w:t>
      </w:r>
      <w:r w:rsidRPr="00237C86">
        <w:t xml:space="preserve"> Enquiry</w:t>
      </w:r>
      <w:r w:rsidR="00B441E9">
        <w:t xml:space="preserve"> </w:t>
      </w:r>
      <w:r w:rsidR="00954E1B">
        <w:t>4</w:t>
      </w:r>
    </w:p>
    <w:p w14:paraId="791ECC69" w14:textId="583D07F7" w:rsidR="00237C86" w:rsidRPr="00237C86" w:rsidRDefault="00954E1B" w:rsidP="00E30CDF">
      <w:pPr>
        <w:pStyle w:val="ListParagraph"/>
        <w:numPr>
          <w:ilvl w:val="0"/>
          <w:numId w:val="3"/>
        </w:numPr>
      </w:pPr>
      <w:r>
        <w:t xml:space="preserve">Assisted </w:t>
      </w:r>
      <w:r w:rsidR="00237C86" w:rsidRPr="00237C86">
        <w:t xml:space="preserve">Referral </w:t>
      </w:r>
      <w:r>
        <w:t>9</w:t>
      </w:r>
    </w:p>
    <w:p w14:paraId="2D94BDE6" w14:textId="77777777" w:rsidR="00237C86" w:rsidRPr="00237C86" w:rsidRDefault="00237C86" w:rsidP="00B441E9">
      <w:pPr>
        <w:pStyle w:val="Heading3"/>
      </w:pPr>
      <w:r w:rsidRPr="00237C86">
        <w:t>Top Issues</w:t>
      </w:r>
      <w:r w:rsidRPr="00237C86">
        <w:tab/>
      </w:r>
    </w:p>
    <w:p w14:paraId="3E45EDCE" w14:textId="2B710099" w:rsidR="00237C86" w:rsidRPr="00237C86" w:rsidRDefault="00237C86" w:rsidP="00E30CDF">
      <w:pPr>
        <w:pStyle w:val="ListParagraph"/>
        <w:numPr>
          <w:ilvl w:val="0"/>
          <w:numId w:val="3"/>
        </w:numPr>
      </w:pPr>
      <w:r w:rsidRPr="00237C86">
        <w:t>Staff</w:t>
      </w:r>
      <w:r w:rsidR="00B441E9">
        <w:t xml:space="preserve"> </w:t>
      </w:r>
      <w:r w:rsidR="00954E1B">
        <w:t>142</w:t>
      </w:r>
    </w:p>
    <w:p w14:paraId="1BC0DC18" w14:textId="1042AEE3" w:rsidR="00237C86" w:rsidRPr="00237C86" w:rsidRDefault="00237C86" w:rsidP="00E30CDF">
      <w:pPr>
        <w:pStyle w:val="ListParagraph"/>
        <w:numPr>
          <w:ilvl w:val="0"/>
          <w:numId w:val="3"/>
        </w:numPr>
      </w:pPr>
      <w:r w:rsidRPr="00237C86">
        <w:t>Service Delivery</w:t>
      </w:r>
      <w:r w:rsidR="00B441E9">
        <w:t xml:space="preserve"> </w:t>
      </w:r>
      <w:r w:rsidR="00954E1B">
        <w:t>92</w:t>
      </w:r>
    </w:p>
    <w:p w14:paraId="2A61C88F" w14:textId="7C742364" w:rsidR="00B441E9" w:rsidRDefault="00237C86" w:rsidP="00E30CDF">
      <w:pPr>
        <w:pStyle w:val="ListParagraph"/>
        <w:numPr>
          <w:ilvl w:val="0"/>
          <w:numId w:val="3"/>
        </w:numPr>
      </w:pPr>
      <w:r w:rsidRPr="00237C86">
        <w:t>Buses</w:t>
      </w:r>
      <w:r w:rsidR="00B441E9">
        <w:t xml:space="preserve"> </w:t>
      </w:r>
      <w:r w:rsidR="00954E1B">
        <w:t>27</w:t>
      </w:r>
    </w:p>
    <w:p w14:paraId="4C4F5F27" w14:textId="7F87284D" w:rsidR="00954E1B" w:rsidRPr="00237C86" w:rsidRDefault="00954E1B" w:rsidP="00954E1B">
      <w:pPr>
        <w:pStyle w:val="Heading2"/>
      </w:pPr>
      <w:r>
        <w:t>Department of Transport (PTV)</w:t>
      </w:r>
      <w:r w:rsidRPr="00237C86">
        <w:tab/>
      </w:r>
    </w:p>
    <w:p w14:paraId="1C023CA7" w14:textId="0407F189" w:rsidR="00954E1B" w:rsidRPr="00237C86" w:rsidRDefault="00954E1B" w:rsidP="00E30CDF">
      <w:pPr>
        <w:pStyle w:val="ListParagraph"/>
        <w:numPr>
          <w:ilvl w:val="0"/>
          <w:numId w:val="7"/>
        </w:numPr>
      </w:pPr>
      <w:r w:rsidRPr="00237C86">
        <w:t>Totals</w:t>
      </w:r>
      <w:r w:rsidRPr="00237C86">
        <w:tab/>
        <w:t>1</w:t>
      </w:r>
      <w:r>
        <w:t>0</w:t>
      </w:r>
      <w:r w:rsidRPr="00237C86">
        <w:t>4</w:t>
      </w:r>
      <w:r>
        <w:t>2</w:t>
      </w:r>
    </w:p>
    <w:p w14:paraId="1CDD9236" w14:textId="1BCBE755" w:rsidR="00954E1B" w:rsidRPr="00237C86" w:rsidRDefault="00954E1B" w:rsidP="00E30CDF">
      <w:pPr>
        <w:pStyle w:val="ListParagraph"/>
        <w:numPr>
          <w:ilvl w:val="0"/>
          <w:numId w:val="7"/>
        </w:numPr>
      </w:pPr>
      <w:r w:rsidRPr="00237C86">
        <w:t>Investigation</w:t>
      </w:r>
      <w:r w:rsidRPr="00237C86">
        <w:tab/>
      </w:r>
      <w:r>
        <w:t>180</w:t>
      </w:r>
    </w:p>
    <w:p w14:paraId="7B3ED64A" w14:textId="374F3A8F" w:rsidR="00954E1B" w:rsidRPr="00237C86" w:rsidRDefault="00954E1B" w:rsidP="00E30CDF">
      <w:pPr>
        <w:pStyle w:val="ListParagraph"/>
        <w:numPr>
          <w:ilvl w:val="0"/>
          <w:numId w:val="7"/>
        </w:numPr>
      </w:pPr>
      <w:r w:rsidRPr="00237C86">
        <w:t xml:space="preserve">Member </w:t>
      </w:r>
      <w:r>
        <w:t>–</w:t>
      </w:r>
      <w:r w:rsidRPr="00237C86">
        <w:t xml:space="preserve"> Complaint</w:t>
      </w:r>
      <w:r>
        <w:t xml:space="preserve"> 477</w:t>
      </w:r>
    </w:p>
    <w:p w14:paraId="34AFC953" w14:textId="18096CF4" w:rsidR="00954E1B" w:rsidRPr="00237C86" w:rsidRDefault="00954E1B" w:rsidP="00E30CDF">
      <w:pPr>
        <w:pStyle w:val="ListParagraph"/>
        <w:numPr>
          <w:ilvl w:val="0"/>
          <w:numId w:val="7"/>
        </w:numPr>
      </w:pPr>
      <w:r w:rsidRPr="00237C86">
        <w:t xml:space="preserve">Member </w:t>
      </w:r>
      <w:r>
        <w:t>–</w:t>
      </w:r>
      <w:r w:rsidRPr="00237C86">
        <w:t xml:space="preserve"> Enquiry</w:t>
      </w:r>
      <w:r>
        <w:t xml:space="preserve"> </w:t>
      </w:r>
      <w:r w:rsidRPr="00237C86">
        <w:t>2</w:t>
      </w:r>
      <w:r>
        <w:t>50</w:t>
      </w:r>
    </w:p>
    <w:p w14:paraId="56CB331E" w14:textId="60B1FFBF" w:rsidR="00954E1B" w:rsidRPr="00237C86" w:rsidRDefault="00954E1B" w:rsidP="00E30CDF">
      <w:pPr>
        <w:pStyle w:val="ListParagraph"/>
        <w:numPr>
          <w:ilvl w:val="0"/>
          <w:numId w:val="7"/>
        </w:numPr>
      </w:pPr>
      <w:r>
        <w:t xml:space="preserve">Assisted </w:t>
      </w:r>
      <w:r w:rsidRPr="00237C86">
        <w:t xml:space="preserve">Referral </w:t>
      </w:r>
      <w:r>
        <w:t>135</w:t>
      </w:r>
    </w:p>
    <w:p w14:paraId="4C74E80E" w14:textId="77777777" w:rsidR="00954E1B" w:rsidRPr="00237C86" w:rsidRDefault="00954E1B" w:rsidP="00954E1B">
      <w:pPr>
        <w:pStyle w:val="Heading3"/>
      </w:pPr>
      <w:r w:rsidRPr="00237C86">
        <w:t>Top Issues</w:t>
      </w:r>
      <w:r w:rsidRPr="00237C86">
        <w:tab/>
      </w:r>
    </w:p>
    <w:p w14:paraId="3BF738FA" w14:textId="534C6978" w:rsidR="00954E1B" w:rsidRPr="00237C86" w:rsidRDefault="00954E1B" w:rsidP="00E30CDF">
      <w:pPr>
        <w:pStyle w:val="ListParagraph"/>
        <w:numPr>
          <w:ilvl w:val="0"/>
          <w:numId w:val="8"/>
        </w:numPr>
      </w:pPr>
      <w:r w:rsidRPr="00237C86">
        <w:t>Myki</w:t>
      </w:r>
      <w:r>
        <w:t xml:space="preserve"> </w:t>
      </w:r>
      <w:r w:rsidR="000F74AF">
        <w:t>902</w:t>
      </w:r>
    </w:p>
    <w:p w14:paraId="1651AB23" w14:textId="69D41E4F" w:rsidR="00954E1B" w:rsidRPr="00237C86" w:rsidRDefault="00954E1B" w:rsidP="00E30CDF">
      <w:pPr>
        <w:pStyle w:val="ListParagraph"/>
        <w:numPr>
          <w:ilvl w:val="0"/>
          <w:numId w:val="8"/>
        </w:numPr>
      </w:pPr>
      <w:r w:rsidRPr="00237C86">
        <w:t>Staff</w:t>
      </w:r>
      <w:r>
        <w:t xml:space="preserve"> </w:t>
      </w:r>
      <w:r w:rsidR="000F74AF">
        <w:t>452</w:t>
      </w:r>
    </w:p>
    <w:p w14:paraId="171CAC62" w14:textId="51F3ADD3" w:rsidR="00954E1B" w:rsidRDefault="00954E1B" w:rsidP="00E30CDF">
      <w:pPr>
        <w:pStyle w:val="ListParagraph"/>
        <w:numPr>
          <w:ilvl w:val="0"/>
          <w:numId w:val="8"/>
        </w:numPr>
      </w:pPr>
      <w:r w:rsidRPr="00237C86">
        <w:t>Service Delivery</w:t>
      </w:r>
      <w:r>
        <w:t xml:space="preserve"> </w:t>
      </w:r>
      <w:r w:rsidR="000F74AF">
        <w:t>101</w:t>
      </w:r>
    </w:p>
    <w:p w14:paraId="3CC7082A" w14:textId="420DDB42" w:rsidR="00237C86" w:rsidRPr="00237C86" w:rsidRDefault="00B441E9" w:rsidP="00B441E9">
      <w:pPr>
        <w:pStyle w:val="Heading2"/>
      </w:pPr>
      <w:r w:rsidRPr="00F72A80">
        <w:t>Level Crossing Removal Project</w:t>
      </w:r>
      <w:r w:rsidRPr="00237C86">
        <w:tab/>
      </w:r>
    </w:p>
    <w:p w14:paraId="3A91083A" w14:textId="28E26EA7" w:rsidR="00237C86" w:rsidRPr="00237C86" w:rsidRDefault="00237C86" w:rsidP="00E30CDF">
      <w:pPr>
        <w:pStyle w:val="ListParagraph"/>
        <w:numPr>
          <w:ilvl w:val="0"/>
          <w:numId w:val="4"/>
        </w:numPr>
      </w:pPr>
      <w:r w:rsidRPr="00237C86">
        <w:t>Totals</w:t>
      </w:r>
      <w:r w:rsidR="00B441E9">
        <w:t xml:space="preserve"> </w:t>
      </w:r>
      <w:r w:rsidR="00C172F0">
        <w:t>45</w:t>
      </w:r>
    </w:p>
    <w:p w14:paraId="68F57228" w14:textId="30E36B0D" w:rsidR="00237C86" w:rsidRPr="00237C86" w:rsidRDefault="00237C86" w:rsidP="00E30CDF">
      <w:pPr>
        <w:pStyle w:val="ListParagraph"/>
        <w:numPr>
          <w:ilvl w:val="0"/>
          <w:numId w:val="4"/>
        </w:numPr>
      </w:pPr>
      <w:r w:rsidRPr="00237C86">
        <w:t>Investigation</w:t>
      </w:r>
      <w:r w:rsidR="00B441E9">
        <w:t xml:space="preserve"> </w:t>
      </w:r>
      <w:r w:rsidR="00C172F0">
        <w:t>15</w:t>
      </w:r>
    </w:p>
    <w:p w14:paraId="2B29679C" w14:textId="39E30FC1" w:rsidR="00237C86" w:rsidRPr="00237C86" w:rsidRDefault="00237C86" w:rsidP="00E30CDF">
      <w:pPr>
        <w:pStyle w:val="ListParagraph"/>
        <w:numPr>
          <w:ilvl w:val="0"/>
          <w:numId w:val="4"/>
        </w:numPr>
      </w:pPr>
      <w:r w:rsidRPr="00237C86">
        <w:t xml:space="preserve">Member </w:t>
      </w:r>
      <w:r w:rsidR="00B441E9">
        <w:t>–</w:t>
      </w:r>
      <w:r w:rsidRPr="00237C86">
        <w:t xml:space="preserve"> Complaint</w:t>
      </w:r>
      <w:r w:rsidR="00B441E9">
        <w:t xml:space="preserve"> </w:t>
      </w:r>
      <w:r w:rsidR="00C172F0">
        <w:t>26</w:t>
      </w:r>
    </w:p>
    <w:p w14:paraId="6E78A7E8" w14:textId="72ADDD8B" w:rsidR="00237C86" w:rsidRPr="00237C86" w:rsidRDefault="00237C86" w:rsidP="00E30CDF">
      <w:pPr>
        <w:pStyle w:val="ListParagraph"/>
        <w:numPr>
          <w:ilvl w:val="0"/>
          <w:numId w:val="4"/>
        </w:numPr>
      </w:pPr>
      <w:r w:rsidRPr="00237C86">
        <w:t xml:space="preserve">Member </w:t>
      </w:r>
      <w:r w:rsidR="00B441E9">
        <w:t>–</w:t>
      </w:r>
      <w:r w:rsidRPr="00237C86">
        <w:t xml:space="preserve"> Enquiry</w:t>
      </w:r>
      <w:r w:rsidR="00B441E9">
        <w:t xml:space="preserve"> </w:t>
      </w:r>
      <w:r w:rsidR="00C172F0">
        <w:t>1</w:t>
      </w:r>
    </w:p>
    <w:p w14:paraId="25CE6020" w14:textId="65F18013" w:rsidR="00237C86" w:rsidRPr="00237C86" w:rsidRDefault="00C172F0" w:rsidP="00E30CDF">
      <w:pPr>
        <w:pStyle w:val="ListParagraph"/>
        <w:numPr>
          <w:ilvl w:val="0"/>
          <w:numId w:val="4"/>
        </w:numPr>
      </w:pPr>
      <w:r>
        <w:t xml:space="preserve">Assisted </w:t>
      </w:r>
      <w:r w:rsidRPr="00237C86">
        <w:t xml:space="preserve">Referral </w:t>
      </w:r>
      <w:r>
        <w:t>3</w:t>
      </w:r>
    </w:p>
    <w:p w14:paraId="794A7461" w14:textId="77777777" w:rsidR="00237C86" w:rsidRPr="00237C86" w:rsidRDefault="00237C86" w:rsidP="00B441E9">
      <w:pPr>
        <w:pStyle w:val="Heading3"/>
      </w:pPr>
      <w:r w:rsidRPr="00237C86">
        <w:t>Top Issues</w:t>
      </w:r>
      <w:r w:rsidRPr="00237C86">
        <w:tab/>
      </w:r>
    </w:p>
    <w:p w14:paraId="385F9564" w14:textId="7031220C" w:rsidR="00237C86" w:rsidRPr="00237C86" w:rsidRDefault="00237C86" w:rsidP="00E30CDF">
      <w:pPr>
        <w:pStyle w:val="ListParagraph"/>
        <w:numPr>
          <w:ilvl w:val="0"/>
          <w:numId w:val="4"/>
        </w:numPr>
      </w:pPr>
      <w:r w:rsidRPr="00237C86">
        <w:t>Land and Infrastructure</w:t>
      </w:r>
      <w:r w:rsidR="00B441E9">
        <w:t xml:space="preserve"> </w:t>
      </w:r>
      <w:r w:rsidR="00C172F0">
        <w:t>59</w:t>
      </w:r>
    </w:p>
    <w:p w14:paraId="45F2E363" w14:textId="5363C259" w:rsidR="00237C86" w:rsidRPr="00237C86" w:rsidRDefault="00237C86" w:rsidP="00E30CDF">
      <w:pPr>
        <w:pStyle w:val="ListParagraph"/>
        <w:numPr>
          <w:ilvl w:val="0"/>
          <w:numId w:val="4"/>
        </w:numPr>
      </w:pPr>
      <w:r w:rsidRPr="00237C86">
        <w:t>Staff</w:t>
      </w:r>
      <w:r w:rsidR="00B441E9">
        <w:t xml:space="preserve"> </w:t>
      </w:r>
      <w:r w:rsidR="00C172F0">
        <w:t>35</w:t>
      </w:r>
    </w:p>
    <w:p w14:paraId="298B2981" w14:textId="595A41FB" w:rsidR="00237C86" w:rsidRPr="00237C86" w:rsidRDefault="00237C86" w:rsidP="00E30CDF">
      <w:pPr>
        <w:pStyle w:val="ListParagraph"/>
        <w:numPr>
          <w:ilvl w:val="0"/>
          <w:numId w:val="4"/>
        </w:numPr>
      </w:pPr>
      <w:r w:rsidRPr="00237C86">
        <w:t>Service Delivery</w:t>
      </w:r>
      <w:r w:rsidR="00B441E9">
        <w:t xml:space="preserve"> </w:t>
      </w:r>
      <w:r w:rsidR="00C172F0">
        <w:t>14</w:t>
      </w:r>
    </w:p>
    <w:p w14:paraId="5AC3F1E9" w14:textId="344D5757" w:rsidR="00237C86" w:rsidRPr="00237C86" w:rsidRDefault="00B441E9" w:rsidP="00B441E9">
      <w:pPr>
        <w:pStyle w:val="Heading2"/>
      </w:pPr>
      <w:r w:rsidRPr="00237C86">
        <w:t>Metro Trains</w:t>
      </w:r>
      <w:r w:rsidR="00237C86" w:rsidRPr="00237C86">
        <w:tab/>
      </w:r>
    </w:p>
    <w:p w14:paraId="2A244C64" w14:textId="32ABD6C0" w:rsidR="00237C86" w:rsidRPr="00237C86" w:rsidRDefault="00237C86" w:rsidP="00E30CDF">
      <w:pPr>
        <w:pStyle w:val="ListParagraph"/>
        <w:numPr>
          <w:ilvl w:val="0"/>
          <w:numId w:val="5"/>
        </w:numPr>
      </w:pPr>
      <w:r w:rsidRPr="00237C86">
        <w:t>Totals</w:t>
      </w:r>
      <w:r w:rsidR="00B441E9">
        <w:t xml:space="preserve"> </w:t>
      </w:r>
      <w:r w:rsidR="00C172F0">
        <w:t>899</w:t>
      </w:r>
    </w:p>
    <w:p w14:paraId="4D935C83" w14:textId="7A1694F1" w:rsidR="00237C86" w:rsidRPr="00237C86" w:rsidRDefault="00237C86" w:rsidP="00E30CDF">
      <w:pPr>
        <w:pStyle w:val="ListParagraph"/>
        <w:numPr>
          <w:ilvl w:val="0"/>
          <w:numId w:val="5"/>
        </w:numPr>
      </w:pPr>
      <w:r w:rsidRPr="00237C86">
        <w:t>Investigation</w:t>
      </w:r>
      <w:r w:rsidR="00B441E9">
        <w:t xml:space="preserve"> </w:t>
      </w:r>
      <w:r w:rsidR="00C172F0">
        <w:t>103</w:t>
      </w:r>
    </w:p>
    <w:p w14:paraId="2950F2AB" w14:textId="7CE9366F" w:rsidR="00237C86" w:rsidRPr="00237C86" w:rsidRDefault="00237C86" w:rsidP="00E30CDF">
      <w:pPr>
        <w:pStyle w:val="ListParagraph"/>
        <w:numPr>
          <w:ilvl w:val="0"/>
          <w:numId w:val="5"/>
        </w:numPr>
      </w:pPr>
      <w:r w:rsidRPr="00237C86">
        <w:lastRenderedPageBreak/>
        <w:t xml:space="preserve">Member </w:t>
      </w:r>
      <w:r w:rsidR="00B441E9">
        <w:t>–</w:t>
      </w:r>
      <w:r w:rsidRPr="00237C86">
        <w:t xml:space="preserve"> Complaint</w:t>
      </w:r>
      <w:r w:rsidR="00B441E9">
        <w:t xml:space="preserve"> </w:t>
      </w:r>
      <w:r w:rsidR="00C172F0">
        <w:t>578</w:t>
      </w:r>
    </w:p>
    <w:p w14:paraId="217A653C" w14:textId="701B5F3E" w:rsidR="00237C86" w:rsidRPr="00237C86" w:rsidRDefault="00237C86" w:rsidP="00E30CDF">
      <w:pPr>
        <w:pStyle w:val="ListParagraph"/>
        <w:numPr>
          <w:ilvl w:val="0"/>
          <w:numId w:val="5"/>
        </w:numPr>
      </w:pPr>
      <w:r w:rsidRPr="00237C86">
        <w:t xml:space="preserve">Member </w:t>
      </w:r>
      <w:r w:rsidR="00B441E9">
        <w:t>–</w:t>
      </w:r>
      <w:r w:rsidRPr="00237C86">
        <w:t xml:space="preserve"> Enquiry</w:t>
      </w:r>
      <w:r w:rsidR="00B441E9">
        <w:t xml:space="preserve"> </w:t>
      </w:r>
      <w:r w:rsidR="00C172F0">
        <w:t>146</w:t>
      </w:r>
    </w:p>
    <w:p w14:paraId="6F8A83D7" w14:textId="6926AFA3" w:rsidR="00237C86" w:rsidRPr="00237C86" w:rsidRDefault="00C172F0" w:rsidP="00E30CDF">
      <w:pPr>
        <w:pStyle w:val="ListParagraph"/>
        <w:numPr>
          <w:ilvl w:val="0"/>
          <w:numId w:val="5"/>
        </w:numPr>
      </w:pPr>
      <w:r>
        <w:t xml:space="preserve">Assisted </w:t>
      </w:r>
      <w:r w:rsidRPr="00237C86">
        <w:t xml:space="preserve">Referral </w:t>
      </w:r>
      <w:r>
        <w:t>72</w:t>
      </w:r>
      <w:r w:rsidR="00B441E9">
        <w:t xml:space="preserve"> </w:t>
      </w:r>
    </w:p>
    <w:p w14:paraId="2FF0AF2A" w14:textId="77777777" w:rsidR="00237C86" w:rsidRPr="00237C86" w:rsidRDefault="00237C86" w:rsidP="00B441E9">
      <w:pPr>
        <w:pStyle w:val="Heading3"/>
      </w:pPr>
      <w:r w:rsidRPr="00237C86">
        <w:t>Top Issues</w:t>
      </w:r>
      <w:r w:rsidRPr="00237C86">
        <w:tab/>
      </w:r>
    </w:p>
    <w:p w14:paraId="3F7CB301" w14:textId="2CBA60CA" w:rsidR="00237C86" w:rsidRPr="00237C86" w:rsidRDefault="00237C86" w:rsidP="00E30CDF">
      <w:pPr>
        <w:pStyle w:val="ListParagraph"/>
        <w:numPr>
          <w:ilvl w:val="0"/>
          <w:numId w:val="6"/>
        </w:numPr>
      </w:pPr>
      <w:r w:rsidRPr="00237C86">
        <w:t>Service Delivery</w:t>
      </w:r>
      <w:r w:rsidR="001E629A">
        <w:t xml:space="preserve"> </w:t>
      </w:r>
      <w:r w:rsidR="00C172F0">
        <w:t>763</w:t>
      </w:r>
    </w:p>
    <w:p w14:paraId="2DEBF18D" w14:textId="707A768D" w:rsidR="00237C86" w:rsidRPr="00237C86" w:rsidRDefault="00237C86" w:rsidP="00E30CDF">
      <w:pPr>
        <w:pStyle w:val="ListParagraph"/>
        <w:numPr>
          <w:ilvl w:val="0"/>
          <w:numId w:val="6"/>
        </w:numPr>
      </w:pPr>
      <w:r w:rsidRPr="00237C86">
        <w:t>Staff</w:t>
      </w:r>
      <w:r w:rsidR="001E629A">
        <w:t xml:space="preserve"> </w:t>
      </w:r>
      <w:r w:rsidR="00C172F0">
        <w:t>405</w:t>
      </w:r>
    </w:p>
    <w:p w14:paraId="0BC60E4E" w14:textId="28451EE0" w:rsidR="00237C86" w:rsidRPr="00237C86" w:rsidRDefault="00237C86" w:rsidP="00E30CDF">
      <w:pPr>
        <w:pStyle w:val="ListParagraph"/>
        <w:numPr>
          <w:ilvl w:val="0"/>
          <w:numId w:val="6"/>
        </w:numPr>
      </w:pPr>
      <w:r w:rsidRPr="00237C86">
        <w:t>Land and Infrastructure</w:t>
      </w:r>
      <w:r w:rsidR="001E629A">
        <w:t xml:space="preserve"> </w:t>
      </w:r>
      <w:r w:rsidR="00C172F0">
        <w:t>234</w:t>
      </w:r>
    </w:p>
    <w:p w14:paraId="3E0D6FE9" w14:textId="1429957C" w:rsidR="00237C86" w:rsidRPr="00237C86" w:rsidRDefault="001E629A" w:rsidP="001E629A">
      <w:pPr>
        <w:pStyle w:val="Heading2"/>
      </w:pPr>
      <w:r w:rsidRPr="00237C86">
        <w:t>Rail Projects Victoria</w:t>
      </w:r>
      <w:r w:rsidRPr="00237C86">
        <w:tab/>
      </w:r>
    </w:p>
    <w:p w14:paraId="248B0401" w14:textId="66751A31" w:rsidR="00237C86" w:rsidRPr="00237C86" w:rsidRDefault="00237C86" w:rsidP="00E30CDF">
      <w:pPr>
        <w:pStyle w:val="ListParagraph"/>
        <w:numPr>
          <w:ilvl w:val="0"/>
          <w:numId w:val="9"/>
        </w:numPr>
      </w:pPr>
      <w:r w:rsidRPr="00237C86">
        <w:t>Totals</w:t>
      </w:r>
      <w:r w:rsidRPr="00237C86">
        <w:tab/>
        <w:t>3</w:t>
      </w:r>
      <w:r w:rsidR="00C172F0">
        <w:t>9</w:t>
      </w:r>
    </w:p>
    <w:p w14:paraId="04256359" w14:textId="42599D66" w:rsidR="00237C86" w:rsidRPr="00237C86" w:rsidRDefault="00237C86" w:rsidP="00E30CDF">
      <w:pPr>
        <w:pStyle w:val="ListParagraph"/>
        <w:numPr>
          <w:ilvl w:val="0"/>
          <w:numId w:val="9"/>
        </w:numPr>
      </w:pPr>
      <w:r w:rsidRPr="00237C86">
        <w:t>Investigation</w:t>
      </w:r>
      <w:r w:rsidRPr="00237C86">
        <w:tab/>
      </w:r>
      <w:r w:rsidR="00C172F0">
        <w:t>9</w:t>
      </w:r>
    </w:p>
    <w:p w14:paraId="2960FDAA" w14:textId="3FACFF5B" w:rsidR="00237C86" w:rsidRPr="00237C86" w:rsidRDefault="00237C86" w:rsidP="00E30CDF">
      <w:pPr>
        <w:pStyle w:val="ListParagraph"/>
        <w:numPr>
          <w:ilvl w:val="0"/>
          <w:numId w:val="9"/>
        </w:numPr>
      </w:pPr>
      <w:r w:rsidRPr="00237C86">
        <w:t xml:space="preserve">Member </w:t>
      </w:r>
      <w:r w:rsidR="001E629A">
        <w:t>–</w:t>
      </w:r>
      <w:r w:rsidRPr="00237C86">
        <w:t xml:space="preserve"> Complaint</w:t>
      </w:r>
      <w:r w:rsidR="001E629A">
        <w:t xml:space="preserve"> </w:t>
      </w:r>
      <w:r w:rsidR="00C172F0">
        <w:t>25</w:t>
      </w:r>
    </w:p>
    <w:p w14:paraId="08F01C4E" w14:textId="5BE899BB" w:rsidR="00237C86" w:rsidRPr="00237C86" w:rsidRDefault="00237C86" w:rsidP="00E30CDF">
      <w:pPr>
        <w:pStyle w:val="ListParagraph"/>
        <w:numPr>
          <w:ilvl w:val="0"/>
          <w:numId w:val="9"/>
        </w:numPr>
      </w:pPr>
      <w:r w:rsidRPr="00237C86">
        <w:t xml:space="preserve">Member </w:t>
      </w:r>
      <w:r w:rsidR="001E629A">
        <w:t>–</w:t>
      </w:r>
      <w:r w:rsidRPr="00237C86">
        <w:t xml:space="preserve"> Enquiry</w:t>
      </w:r>
      <w:r w:rsidR="001E629A">
        <w:t xml:space="preserve"> </w:t>
      </w:r>
      <w:r w:rsidR="00C172F0">
        <w:t>2</w:t>
      </w:r>
    </w:p>
    <w:p w14:paraId="7E7AA2FD" w14:textId="68C95FEC" w:rsidR="00237C86" w:rsidRPr="00237C86" w:rsidRDefault="00C172F0" w:rsidP="00E30CDF">
      <w:pPr>
        <w:pStyle w:val="ListParagraph"/>
        <w:numPr>
          <w:ilvl w:val="0"/>
          <w:numId w:val="9"/>
        </w:numPr>
      </w:pPr>
      <w:r>
        <w:t xml:space="preserve">Assisted </w:t>
      </w:r>
      <w:r w:rsidRPr="00237C86">
        <w:t>Referral</w:t>
      </w:r>
      <w:r>
        <w:t xml:space="preserve"> 3</w:t>
      </w:r>
    </w:p>
    <w:p w14:paraId="41CBCF21" w14:textId="77777777" w:rsidR="00237C86" w:rsidRPr="00237C86" w:rsidRDefault="00237C86" w:rsidP="001E629A">
      <w:pPr>
        <w:pStyle w:val="Heading3"/>
      </w:pPr>
      <w:r w:rsidRPr="00237C86">
        <w:t>Top Issues</w:t>
      </w:r>
      <w:r w:rsidRPr="00237C86">
        <w:tab/>
      </w:r>
    </w:p>
    <w:p w14:paraId="42D5EB59" w14:textId="3CD8A053" w:rsidR="00237C86" w:rsidRPr="00237C86" w:rsidRDefault="00237C86" w:rsidP="00E30CDF">
      <w:pPr>
        <w:pStyle w:val="ListParagraph"/>
        <w:numPr>
          <w:ilvl w:val="0"/>
          <w:numId w:val="10"/>
        </w:numPr>
      </w:pPr>
      <w:r w:rsidRPr="00237C86">
        <w:t>Land and Infrastructure</w:t>
      </w:r>
      <w:r w:rsidR="001E629A">
        <w:t xml:space="preserve"> </w:t>
      </w:r>
      <w:r w:rsidR="00C172F0">
        <w:t>44</w:t>
      </w:r>
    </w:p>
    <w:p w14:paraId="23B27E50" w14:textId="76E2B77B" w:rsidR="00237C86" w:rsidRDefault="00237C86" w:rsidP="00E30CDF">
      <w:pPr>
        <w:pStyle w:val="ListParagraph"/>
        <w:numPr>
          <w:ilvl w:val="0"/>
          <w:numId w:val="10"/>
        </w:numPr>
      </w:pPr>
      <w:r w:rsidRPr="00237C86">
        <w:t>Staff</w:t>
      </w:r>
      <w:r w:rsidR="001E629A">
        <w:t xml:space="preserve"> </w:t>
      </w:r>
      <w:r w:rsidRPr="00237C86">
        <w:t>2</w:t>
      </w:r>
      <w:r w:rsidR="00C172F0">
        <w:t>8</w:t>
      </w:r>
    </w:p>
    <w:p w14:paraId="72A5CE9C" w14:textId="23403FF0" w:rsidR="00C172F0" w:rsidRPr="00237C86" w:rsidRDefault="00C172F0" w:rsidP="00E30CDF">
      <w:pPr>
        <w:pStyle w:val="ListParagraph"/>
        <w:numPr>
          <w:ilvl w:val="0"/>
          <w:numId w:val="10"/>
        </w:numPr>
      </w:pPr>
      <w:r>
        <w:t>Service Delivery 4</w:t>
      </w:r>
    </w:p>
    <w:p w14:paraId="72AB6105" w14:textId="06662972" w:rsidR="00237C86" w:rsidRPr="00237C86" w:rsidRDefault="001E629A" w:rsidP="001E629A">
      <w:pPr>
        <w:pStyle w:val="Heading2"/>
      </w:pPr>
      <w:proofErr w:type="spellStart"/>
      <w:r w:rsidRPr="00237C86">
        <w:t>Sky</w:t>
      </w:r>
      <w:r w:rsidR="004A08C9">
        <w:t>B</w:t>
      </w:r>
      <w:r w:rsidRPr="00237C86">
        <w:t>us</w:t>
      </w:r>
      <w:proofErr w:type="spellEnd"/>
      <w:r w:rsidR="00237C86" w:rsidRPr="00237C86">
        <w:tab/>
      </w:r>
    </w:p>
    <w:p w14:paraId="33B5E9D7" w14:textId="52DC263B" w:rsidR="00237C86" w:rsidRPr="00237C86" w:rsidRDefault="00237C86" w:rsidP="00E30CDF">
      <w:pPr>
        <w:pStyle w:val="ListParagraph"/>
        <w:numPr>
          <w:ilvl w:val="0"/>
          <w:numId w:val="11"/>
        </w:numPr>
      </w:pPr>
      <w:r w:rsidRPr="00237C86">
        <w:t>Totals</w:t>
      </w:r>
      <w:r w:rsidRPr="00237C86">
        <w:tab/>
        <w:t>3</w:t>
      </w:r>
      <w:r w:rsidR="00C172F0">
        <w:t>8</w:t>
      </w:r>
    </w:p>
    <w:p w14:paraId="64D89BAB" w14:textId="1CF81D27" w:rsidR="00237C86" w:rsidRPr="00237C86" w:rsidRDefault="00237C86" w:rsidP="00E30CDF">
      <w:pPr>
        <w:pStyle w:val="ListParagraph"/>
        <w:numPr>
          <w:ilvl w:val="0"/>
          <w:numId w:val="11"/>
        </w:numPr>
      </w:pPr>
      <w:r w:rsidRPr="00237C86">
        <w:t>Investigation</w:t>
      </w:r>
      <w:r w:rsidRPr="00237C86">
        <w:tab/>
      </w:r>
      <w:r w:rsidR="00C172F0">
        <w:t>3</w:t>
      </w:r>
    </w:p>
    <w:p w14:paraId="64D8E2A9" w14:textId="441A28D1" w:rsidR="00237C86" w:rsidRPr="00237C86" w:rsidRDefault="00237C86" w:rsidP="00E30CDF">
      <w:pPr>
        <w:pStyle w:val="ListParagraph"/>
        <w:numPr>
          <w:ilvl w:val="0"/>
          <w:numId w:val="11"/>
        </w:numPr>
      </w:pPr>
      <w:r w:rsidRPr="00237C86">
        <w:t xml:space="preserve">Member </w:t>
      </w:r>
      <w:r w:rsidR="001E629A">
        <w:t>–</w:t>
      </w:r>
      <w:r w:rsidRPr="00237C86">
        <w:t xml:space="preserve"> Complaint</w:t>
      </w:r>
      <w:r w:rsidR="001E629A">
        <w:t xml:space="preserve"> </w:t>
      </w:r>
      <w:r w:rsidRPr="00237C86">
        <w:t>1</w:t>
      </w:r>
      <w:r w:rsidR="00C172F0">
        <w:t>7</w:t>
      </w:r>
    </w:p>
    <w:p w14:paraId="6F7C4AAD" w14:textId="27504765" w:rsidR="00237C86" w:rsidRPr="00237C86" w:rsidRDefault="00237C86" w:rsidP="00E30CDF">
      <w:pPr>
        <w:pStyle w:val="ListParagraph"/>
        <w:numPr>
          <w:ilvl w:val="0"/>
          <w:numId w:val="11"/>
        </w:numPr>
      </w:pPr>
      <w:r w:rsidRPr="00237C86">
        <w:t xml:space="preserve">Member </w:t>
      </w:r>
      <w:r w:rsidR="001E629A">
        <w:t>–</w:t>
      </w:r>
      <w:r w:rsidRPr="00237C86">
        <w:t xml:space="preserve"> Enquiry</w:t>
      </w:r>
      <w:r w:rsidR="001E629A">
        <w:t xml:space="preserve"> </w:t>
      </w:r>
      <w:r w:rsidRPr="00237C86">
        <w:t>1</w:t>
      </w:r>
      <w:r w:rsidR="00C172F0">
        <w:t>6</w:t>
      </w:r>
    </w:p>
    <w:p w14:paraId="0E49D486" w14:textId="1A49C3DB" w:rsidR="00237C86" w:rsidRPr="00237C86" w:rsidRDefault="00C172F0" w:rsidP="00E30CDF">
      <w:pPr>
        <w:pStyle w:val="ListParagraph"/>
        <w:numPr>
          <w:ilvl w:val="0"/>
          <w:numId w:val="11"/>
        </w:numPr>
      </w:pPr>
      <w:r>
        <w:t xml:space="preserve">Assisted </w:t>
      </w:r>
      <w:r w:rsidRPr="00237C86">
        <w:t>Referral</w:t>
      </w:r>
      <w:r>
        <w:t xml:space="preserve"> 2</w:t>
      </w:r>
    </w:p>
    <w:p w14:paraId="416ACDF4" w14:textId="77777777" w:rsidR="00237C86" w:rsidRPr="00237C86" w:rsidRDefault="00237C86" w:rsidP="001E629A">
      <w:pPr>
        <w:pStyle w:val="Heading3"/>
      </w:pPr>
      <w:r w:rsidRPr="00237C86">
        <w:t>Top Issues</w:t>
      </w:r>
      <w:r w:rsidRPr="00237C86">
        <w:tab/>
      </w:r>
    </w:p>
    <w:p w14:paraId="396BE91A" w14:textId="1DDA597E" w:rsidR="00237C86" w:rsidRPr="00237C86" w:rsidRDefault="00237C86" w:rsidP="00E30CDF">
      <w:pPr>
        <w:pStyle w:val="ListParagraph"/>
        <w:numPr>
          <w:ilvl w:val="0"/>
          <w:numId w:val="12"/>
        </w:numPr>
      </w:pPr>
      <w:r w:rsidRPr="00237C86">
        <w:t>Staff</w:t>
      </w:r>
      <w:r w:rsidR="001E629A">
        <w:t xml:space="preserve"> </w:t>
      </w:r>
      <w:r w:rsidR="00C172F0">
        <w:t>16</w:t>
      </w:r>
    </w:p>
    <w:p w14:paraId="00E1FD41" w14:textId="1329A67D" w:rsidR="00237C86" w:rsidRDefault="00237C86" w:rsidP="00E30CDF">
      <w:pPr>
        <w:pStyle w:val="ListParagraph"/>
        <w:numPr>
          <w:ilvl w:val="0"/>
          <w:numId w:val="12"/>
        </w:numPr>
      </w:pPr>
      <w:r w:rsidRPr="00237C86">
        <w:t>Ticketing</w:t>
      </w:r>
      <w:r w:rsidR="001E629A">
        <w:t xml:space="preserve"> </w:t>
      </w:r>
      <w:r w:rsidRPr="00237C86">
        <w:t>1</w:t>
      </w:r>
      <w:r w:rsidR="00C172F0">
        <w:t>2</w:t>
      </w:r>
    </w:p>
    <w:p w14:paraId="62730324" w14:textId="597F7DB4" w:rsidR="00C172F0" w:rsidRDefault="00C172F0" w:rsidP="00E30CDF">
      <w:pPr>
        <w:pStyle w:val="ListParagraph"/>
        <w:numPr>
          <w:ilvl w:val="0"/>
          <w:numId w:val="12"/>
        </w:numPr>
      </w:pPr>
      <w:r w:rsidRPr="00237C86">
        <w:t>Service Delivery</w:t>
      </w:r>
      <w:r>
        <w:t xml:space="preserve"> 6</w:t>
      </w:r>
    </w:p>
    <w:p w14:paraId="78BD4435" w14:textId="77777777" w:rsidR="00237C86" w:rsidRPr="00237C86" w:rsidRDefault="00237C86" w:rsidP="001E629A">
      <w:pPr>
        <w:pStyle w:val="Heading2"/>
      </w:pPr>
      <w:r w:rsidRPr="00237C86">
        <w:t>Southern cross station</w:t>
      </w:r>
      <w:r w:rsidRPr="00237C86">
        <w:tab/>
      </w:r>
    </w:p>
    <w:p w14:paraId="17F073CF" w14:textId="4E9E5458" w:rsidR="00C172F0" w:rsidRPr="00237C86" w:rsidRDefault="00C172F0" w:rsidP="00E30CDF">
      <w:pPr>
        <w:pStyle w:val="ListParagraph"/>
        <w:numPr>
          <w:ilvl w:val="0"/>
          <w:numId w:val="9"/>
        </w:numPr>
      </w:pPr>
      <w:r w:rsidRPr="00237C86">
        <w:t>Totals</w:t>
      </w:r>
      <w:r w:rsidRPr="00237C86">
        <w:tab/>
      </w:r>
      <w:r>
        <w:t>19</w:t>
      </w:r>
    </w:p>
    <w:p w14:paraId="7E979A0C" w14:textId="196DE558" w:rsidR="00C172F0" w:rsidRPr="00237C86" w:rsidRDefault="00C172F0" w:rsidP="00E30CDF">
      <w:pPr>
        <w:pStyle w:val="ListParagraph"/>
        <w:numPr>
          <w:ilvl w:val="0"/>
          <w:numId w:val="9"/>
        </w:numPr>
      </w:pPr>
      <w:r w:rsidRPr="00237C86">
        <w:t>Investigation</w:t>
      </w:r>
      <w:r w:rsidRPr="00237C86">
        <w:tab/>
      </w:r>
      <w:r>
        <w:t>1</w:t>
      </w:r>
    </w:p>
    <w:p w14:paraId="18FDB400" w14:textId="50C3DF2C" w:rsidR="00C172F0" w:rsidRPr="00237C86" w:rsidRDefault="00C172F0" w:rsidP="00E30CDF">
      <w:pPr>
        <w:pStyle w:val="ListParagraph"/>
        <w:numPr>
          <w:ilvl w:val="0"/>
          <w:numId w:val="9"/>
        </w:numPr>
      </w:pPr>
      <w:r w:rsidRPr="00237C86">
        <w:t xml:space="preserve">Member </w:t>
      </w:r>
      <w:r>
        <w:t>–</w:t>
      </w:r>
      <w:r w:rsidRPr="00237C86">
        <w:t xml:space="preserve"> Complaint</w:t>
      </w:r>
      <w:r>
        <w:t xml:space="preserve"> 13</w:t>
      </w:r>
    </w:p>
    <w:p w14:paraId="57EF1E5E" w14:textId="3AE28F27" w:rsidR="00C172F0" w:rsidRPr="00237C86" w:rsidRDefault="00C172F0" w:rsidP="00E30CDF">
      <w:pPr>
        <w:pStyle w:val="ListParagraph"/>
        <w:numPr>
          <w:ilvl w:val="0"/>
          <w:numId w:val="9"/>
        </w:numPr>
      </w:pPr>
      <w:r w:rsidRPr="00237C86">
        <w:t xml:space="preserve">Member </w:t>
      </w:r>
      <w:r>
        <w:t>–</w:t>
      </w:r>
      <w:r w:rsidRPr="00237C86">
        <w:t xml:space="preserve"> Enquiry</w:t>
      </w:r>
      <w:r>
        <w:t xml:space="preserve"> 4</w:t>
      </w:r>
    </w:p>
    <w:p w14:paraId="0B6CE919" w14:textId="65F2E3D4" w:rsidR="00C172F0" w:rsidRPr="00237C86" w:rsidRDefault="00C172F0" w:rsidP="00E30CDF">
      <w:pPr>
        <w:pStyle w:val="ListParagraph"/>
        <w:numPr>
          <w:ilvl w:val="0"/>
          <w:numId w:val="9"/>
        </w:numPr>
      </w:pPr>
      <w:r>
        <w:t xml:space="preserve">Assisted </w:t>
      </w:r>
      <w:r w:rsidRPr="00237C86">
        <w:t>Referral</w:t>
      </w:r>
      <w:r>
        <w:t xml:space="preserve"> 1</w:t>
      </w:r>
    </w:p>
    <w:p w14:paraId="1F7027E5" w14:textId="77777777" w:rsidR="00237C86" w:rsidRPr="00237C86" w:rsidRDefault="00237C86" w:rsidP="001E629A">
      <w:pPr>
        <w:pStyle w:val="Heading3"/>
      </w:pPr>
      <w:r w:rsidRPr="00237C86">
        <w:t>Top Issues</w:t>
      </w:r>
      <w:r w:rsidRPr="00237C86">
        <w:tab/>
      </w:r>
    </w:p>
    <w:p w14:paraId="1487E38A" w14:textId="7D3531AE" w:rsidR="00C172F0" w:rsidRPr="00237C86" w:rsidRDefault="00C172F0" w:rsidP="00E30CDF">
      <w:pPr>
        <w:pStyle w:val="ListParagraph"/>
        <w:numPr>
          <w:ilvl w:val="0"/>
          <w:numId w:val="13"/>
        </w:numPr>
      </w:pPr>
      <w:r w:rsidRPr="00237C86">
        <w:t>Land and Infrastructure</w:t>
      </w:r>
      <w:r>
        <w:t xml:space="preserve"> 14</w:t>
      </w:r>
    </w:p>
    <w:p w14:paraId="2CB72ED8" w14:textId="7CBFD518" w:rsidR="00237C86" w:rsidRPr="00237C86" w:rsidRDefault="00237C86" w:rsidP="00E30CDF">
      <w:pPr>
        <w:pStyle w:val="ListParagraph"/>
        <w:numPr>
          <w:ilvl w:val="0"/>
          <w:numId w:val="13"/>
        </w:numPr>
      </w:pPr>
      <w:r w:rsidRPr="00237C86">
        <w:lastRenderedPageBreak/>
        <w:t>Staff</w:t>
      </w:r>
      <w:r w:rsidR="001E629A">
        <w:t xml:space="preserve"> </w:t>
      </w:r>
      <w:r w:rsidR="00C172F0">
        <w:t>4</w:t>
      </w:r>
    </w:p>
    <w:p w14:paraId="5A68AC56" w14:textId="2C51147A" w:rsidR="00237C86" w:rsidRPr="00237C86" w:rsidRDefault="00237C86" w:rsidP="00E30CDF">
      <w:pPr>
        <w:pStyle w:val="ListParagraph"/>
        <w:numPr>
          <w:ilvl w:val="0"/>
          <w:numId w:val="13"/>
        </w:numPr>
      </w:pPr>
      <w:r w:rsidRPr="00237C86">
        <w:t>Accessibilit</w:t>
      </w:r>
      <w:r w:rsidR="001E629A">
        <w:t xml:space="preserve">y </w:t>
      </w:r>
      <w:r w:rsidRPr="00237C86">
        <w:t>1</w:t>
      </w:r>
    </w:p>
    <w:p w14:paraId="6006C53E" w14:textId="77777777" w:rsidR="00237C86" w:rsidRPr="00237C86" w:rsidRDefault="00237C86" w:rsidP="00110022">
      <w:pPr>
        <w:pStyle w:val="Heading2"/>
      </w:pPr>
      <w:r w:rsidRPr="00237C86">
        <w:t>Transdev</w:t>
      </w:r>
      <w:r w:rsidRPr="00237C86">
        <w:tab/>
      </w:r>
    </w:p>
    <w:p w14:paraId="7EC9CA57" w14:textId="04D36879" w:rsidR="00237C86" w:rsidRPr="00237C86" w:rsidRDefault="00237C86" w:rsidP="00E30CDF">
      <w:pPr>
        <w:pStyle w:val="ListParagraph"/>
        <w:numPr>
          <w:ilvl w:val="0"/>
          <w:numId w:val="14"/>
        </w:numPr>
      </w:pPr>
      <w:r w:rsidRPr="00237C86">
        <w:t>Totals</w:t>
      </w:r>
      <w:r w:rsidRPr="00237C86">
        <w:tab/>
      </w:r>
      <w:r w:rsidR="00C172F0">
        <w:t>82</w:t>
      </w:r>
    </w:p>
    <w:p w14:paraId="1E645E40" w14:textId="3785E9A5" w:rsidR="00237C86" w:rsidRPr="00237C86" w:rsidRDefault="00237C86" w:rsidP="00E30CDF">
      <w:pPr>
        <w:pStyle w:val="ListParagraph"/>
        <w:numPr>
          <w:ilvl w:val="0"/>
          <w:numId w:val="14"/>
        </w:numPr>
      </w:pPr>
      <w:r w:rsidRPr="00237C86">
        <w:t>Investigation</w:t>
      </w:r>
      <w:r w:rsidRPr="00237C86">
        <w:tab/>
      </w:r>
      <w:r w:rsidR="00C172F0">
        <w:t>12</w:t>
      </w:r>
    </w:p>
    <w:p w14:paraId="0B806D6F" w14:textId="123A6F41" w:rsidR="00237C86" w:rsidRPr="00237C86" w:rsidRDefault="00237C86" w:rsidP="00E30CDF">
      <w:pPr>
        <w:pStyle w:val="ListParagraph"/>
        <w:numPr>
          <w:ilvl w:val="0"/>
          <w:numId w:val="14"/>
        </w:numPr>
      </w:pPr>
      <w:r w:rsidRPr="00237C86">
        <w:t xml:space="preserve">Member </w:t>
      </w:r>
      <w:r w:rsidR="00110022">
        <w:t>–</w:t>
      </w:r>
      <w:r w:rsidRPr="00237C86">
        <w:t xml:space="preserve"> Complaint</w:t>
      </w:r>
      <w:r w:rsidR="00110022">
        <w:t xml:space="preserve"> </w:t>
      </w:r>
      <w:r w:rsidR="00C172F0">
        <w:t>54</w:t>
      </w:r>
    </w:p>
    <w:p w14:paraId="58F2E6EE" w14:textId="4DCB7CC5" w:rsidR="00237C86" w:rsidRPr="00237C86" w:rsidRDefault="00237C86" w:rsidP="00E30CDF">
      <w:pPr>
        <w:pStyle w:val="ListParagraph"/>
        <w:numPr>
          <w:ilvl w:val="0"/>
          <w:numId w:val="14"/>
        </w:numPr>
      </w:pPr>
      <w:r w:rsidRPr="00237C86">
        <w:t xml:space="preserve">Member </w:t>
      </w:r>
      <w:r w:rsidR="00110022">
        <w:t>–</w:t>
      </w:r>
      <w:r w:rsidRPr="00237C86">
        <w:t xml:space="preserve"> Enquiry</w:t>
      </w:r>
      <w:r w:rsidR="00110022">
        <w:t xml:space="preserve"> </w:t>
      </w:r>
      <w:r w:rsidR="00C172F0">
        <w:t>10</w:t>
      </w:r>
    </w:p>
    <w:p w14:paraId="79922DB8" w14:textId="0E1B062B" w:rsidR="00237C86" w:rsidRPr="00237C86" w:rsidRDefault="00C172F0" w:rsidP="00E30CDF">
      <w:pPr>
        <w:pStyle w:val="ListParagraph"/>
        <w:numPr>
          <w:ilvl w:val="0"/>
          <w:numId w:val="14"/>
        </w:numPr>
      </w:pPr>
      <w:r>
        <w:t xml:space="preserve">Assisted </w:t>
      </w:r>
      <w:r w:rsidRPr="00237C86">
        <w:t>Referral</w:t>
      </w:r>
      <w:r>
        <w:t xml:space="preserve"> 6</w:t>
      </w:r>
    </w:p>
    <w:p w14:paraId="77F0F64F" w14:textId="77777777" w:rsidR="00237C86" w:rsidRPr="00237C86" w:rsidRDefault="00237C86" w:rsidP="00110022">
      <w:pPr>
        <w:pStyle w:val="Heading3"/>
      </w:pPr>
      <w:r w:rsidRPr="00237C86">
        <w:t>Top Issues</w:t>
      </w:r>
      <w:r w:rsidRPr="00237C86">
        <w:tab/>
      </w:r>
    </w:p>
    <w:p w14:paraId="72262850" w14:textId="043282A2" w:rsidR="00237C86" w:rsidRPr="00237C86" w:rsidRDefault="00237C86" w:rsidP="00E30CDF">
      <w:pPr>
        <w:pStyle w:val="ListParagraph"/>
        <w:numPr>
          <w:ilvl w:val="0"/>
          <w:numId w:val="15"/>
        </w:numPr>
      </w:pPr>
      <w:r w:rsidRPr="00237C86">
        <w:t>Staff</w:t>
      </w:r>
      <w:r w:rsidR="00110022">
        <w:t xml:space="preserve"> </w:t>
      </w:r>
      <w:r w:rsidR="00C172F0">
        <w:t>86</w:t>
      </w:r>
    </w:p>
    <w:p w14:paraId="3CE56964" w14:textId="74C8A5EA" w:rsidR="00237C86" w:rsidRPr="00237C86" w:rsidRDefault="00237C86" w:rsidP="00E30CDF">
      <w:pPr>
        <w:pStyle w:val="ListParagraph"/>
        <w:numPr>
          <w:ilvl w:val="0"/>
          <w:numId w:val="15"/>
        </w:numPr>
      </w:pPr>
      <w:r w:rsidRPr="00237C86">
        <w:t>Service Delivery</w:t>
      </w:r>
      <w:r w:rsidR="00110022">
        <w:t xml:space="preserve"> </w:t>
      </w:r>
      <w:r w:rsidR="00C172F0">
        <w:t>49</w:t>
      </w:r>
    </w:p>
    <w:p w14:paraId="4809038F" w14:textId="5F83434F" w:rsidR="00237C86" w:rsidRPr="00237C86" w:rsidRDefault="00237C86" w:rsidP="00E30CDF">
      <w:pPr>
        <w:pStyle w:val="ListParagraph"/>
        <w:numPr>
          <w:ilvl w:val="0"/>
          <w:numId w:val="15"/>
        </w:numPr>
      </w:pPr>
      <w:r w:rsidRPr="00237C86">
        <w:t>Buses</w:t>
      </w:r>
      <w:r w:rsidRPr="00237C86">
        <w:tab/>
      </w:r>
      <w:r w:rsidR="00C172F0">
        <w:t>19</w:t>
      </w:r>
    </w:p>
    <w:p w14:paraId="66B35A28" w14:textId="6C267C76" w:rsidR="00C172F0" w:rsidRPr="00237C86" w:rsidRDefault="00C172F0" w:rsidP="00C172F0">
      <w:pPr>
        <w:pStyle w:val="Heading2"/>
      </w:pPr>
      <w:r>
        <w:t>Ventura</w:t>
      </w:r>
      <w:r w:rsidR="006E62B9">
        <w:t xml:space="preserve"> Bus Lines</w:t>
      </w:r>
      <w:r w:rsidRPr="00237C86">
        <w:tab/>
      </w:r>
    </w:p>
    <w:p w14:paraId="0996AE57" w14:textId="1B4CCF60" w:rsidR="00C172F0" w:rsidRPr="00237C86" w:rsidRDefault="00C172F0" w:rsidP="00E30CDF">
      <w:pPr>
        <w:pStyle w:val="ListParagraph"/>
        <w:numPr>
          <w:ilvl w:val="0"/>
          <w:numId w:val="16"/>
        </w:numPr>
      </w:pPr>
      <w:r w:rsidRPr="00237C86">
        <w:t>Totals</w:t>
      </w:r>
      <w:r w:rsidRPr="00237C86">
        <w:tab/>
      </w:r>
      <w:r>
        <w:t>47</w:t>
      </w:r>
    </w:p>
    <w:p w14:paraId="74AAF21B" w14:textId="7547F756" w:rsidR="00C172F0" w:rsidRPr="00237C86" w:rsidRDefault="00C172F0" w:rsidP="00E30CDF">
      <w:pPr>
        <w:pStyle w:val="ListParagraph"/>
        <w:numPr>
          <w:ilvl w:val="0"/>
          <w:numId w:val="16"/>
        </w:numPr>
      </w:pPr>
      <w:r w:rsidRPr="00237C86">
        <w:t>Investigation</w:t>
      </w:r>
      <w:r w:rsidRPr="00237C86">
        <w:tab/>
      </w:r>
      <w:r w:rsidR="006E62B9">
        <w:t>10</w:t>
      </w:r>
    </w:p>
    <w:p w14:paraId="5D16DFFB" w14:textId="64E898BF" w:rsidR="00C172F0" w:rsidRPr="00237C86" w:rsidRDefault="00C172F0" w:rsidP="00E30CDF">
      <w:pPr>
        <w:pStyle w:val="ListParagraph"/>
        <w:numPr>
          <w:ilvl w:val="0"/>
          <w:numId w:val="16"/>
        </w:numPr>
      </w:pPr>
      <w:r w:rsidRPr="00237C86">
        <w:t xml:space="preserve">Member </w:t>
      </w:r>
      <w:r>
        <w:t>–</w:t>
      </w:r>
      <w:r w:rsidRPr="00237C86">
        <w:t xml:space="preserve"> Complaint</w:t>
      </w:r>
      <w:r>
        <w:t xml:space="preserve"> </w:t>
      </w:r>
      <w:r w:rsidRPr="00237C86">
        <w:t>3</w:t>
      </w:r>
      <w:r w:rsidR="006E62B9">
        <w:t>3</w:t>
      </w:r>
    </w:p>
    <w:p w14:paraId="519B88DC" w14:textId="77777777" w:rsidR="00C172F0" w:rsidRPr="00237C86" w:rsidRDefault="00C172F0" w:rsidP="00E30CDF">
      <w:pPr>
        <w:pStyle w:val="ListParagraph"/>
        <w:numPr>
          <w:ilvl w:val="0"/>
          <w:numId w:val="16"/>
        </w:numPr>
      </w:pPr>
      <w:r w:rsidRPr="00237C86">
        <w:t xml:space="preserve">Member </w:t>
      </w:r>
      <w:r>
        <w:t>–</w:t>
      </w:r>
      <w:r w:rsidRPr="00237C86">
        <w:t xml:space="preserve"> Enquiry</w:t>
      </w:r>
      <w:r>
        <w:t xml:space="preserve"> </w:t>
      </w:r>
      <w:r w:rsidRPr="00237C86">
        <w:t>1</w:t>
      </w:r>
    </w:p>
    <w:p w14:paraId="56DE303E" w14:textId="6DB377EA" w:rsidR="00C172F0" w:rsidRPr="00237C86" w:rsidRDefault="006E62B9" w:rsidP="00E30CDF">
      <w:pPr>
        <w:pStyle w:val="ListParagraph"/>
        <w:numPr>
          <w:ilvl w:val="0"/>
          <w:numId w:val="16"/>
        </w:numPr>
      </w:pPr>
      <w:r>
        <w:t xml:space="preserve">Assisted </w:t>
      </w:r>
      <w:r w:rsidRPr="00237C86">
        <w:t>Referral</w:t>
      </w:r>
      <w:r>
        <w:t xml:space="preserve"> 3</w:t>
      </w:r>
    </w:p>
    <w:p w14:paraId="24EDAFF0" w14:textId="77777777" w:rsidR="00C172F0" w:rsidRPr="00237C86" w:rsidRDefault="00C172F0" w:rsidP="00C172F0">
      <w:pPr>
        <w:pStyle w:val="Heading3"/>
      </w:pPr>
      <w:r w:rsidRPr="00237C86">
        <w:t>Top Issues</w:t>
      </w:r>
      <w:r w:rsidRPr="00237C86">
        <w:tab/>
      </w:r>
    </w:p>
    <w:p w14:paraId="22059F84" w14:textId="6BF947D9" w:rsidR="006E62B9" w:rsidRPr="00237C86" w:rsidRDefault="006E62B9" w:rsidP="00E30CDF">
      <w:pPr>
        <w:pStyle w:val="ListParagraph"/>
        <w:numPr>
          <w:ilvl w:val="0"/>
          <w:numId w:val="15"/>
        </w:numPr>
      </w:pPr>
      <w:r w:rsidRPr="00237C86">
        <w:t>Staff</w:t>
      </w:r>
      <w:r>
        <w:t xml:space="preserve"> 46</w:t>
      </w:r>
    </w:p>
    <w:p w14:paraId="4CC55A74" w14:textId="181C4416" w:rsidR="006E62B9" w:rsidRPr="00237C86" w:rsidRDefault="006E62B9" w:rsidP="00E30CDF">
      <w:pPr>
        <w:pStyle w:val="ListParagraph"/>
        <w:numPr>
          <w:ilvl w:val="0"/>
          <w:numId w:val="15"/>
        </w:numPr>
      </w:pPr>
      <w:r w:rsidRPr="00237C86">
        <w:t>Service Delivery</w:t>
      </w:r>
      <w:r>
        <w:t xml:space="preserve"> 29</w:t>
      </w:r>
    </w:p>
    <w:p w14:paraId="4A2BE344" w14:textId="5D373C99" w:rsidR="006E62B9" w:rsidRPr="00237C86" w:rsidRDefault="006E62B9" w:rsidP="00E30CDF">
      <w:pPr>
        <w:pStyle w:val="ListParagraph"/>
        <w:numPr>
          <w:ilvl w:val="0"/>
          <w:numId w:val="15"/>
        </w:numPr>
      </w:pPr>
      <w:r w:rsidRPr="00237C86">
        <w:t>Buses</w:t>
      </w:r>
      <w:r w:rsidRPr="00237C86">
        <w:tab/>
      </w:r>
      <w:r>
        <w:t>6</w:t>
      </w:r>
    </w:p>
    <w:p w14:paraId="0133D465" w14:textId="1669BDDA" w:rsidR="00237C86" w:rsidRPr="00237C86" w:rsidRDefault="00110022" w:rsidP="00110022">
      <w:pPr>
        <w:pStyle w:val="Heading2"/>
      </w:pPr>
      <w:proofErr w:type="spellStart"/>
      <w:r w:rsidRPr="00110022">
        <w:t>Vic</w:t>
      </w:r>
      <w:r w:rsidR="004A08C9">
        <w:t>T</w:t>
      </w:r>
      <w:r w:rsidRPr="00110022">
        <w:t>rack</w:t>
      </w:r>
      <w:proofErr w:type="spellEnd"/>
      <w:r w:rsidR="00237C86" w:rsidRPr="00237C86">
        <w:tab/>
      </w:r>
    </w:p>
    <w:p w14:paraId="3C67D226" w14:textId="03CEB6B6" w:rsidR="00237C86" w:rsidRPr="00237C86" w:rsidRDefault="00237C86" w:rsidP="00E30CDF">
      <w:pPr>
        <w:pStyle w:val="ListParagraph"/>
        <w:numPr>
          <w:ilvl w:val="0"/>
          <w:numId w:val="16"/>
        </w:numPr>
      </w:pPr>
      <w:r w:rsidRPr="00237C86">
        <w:t>Totals</w:t>
      </w:r>
      <w:r w:rsidRPr="00237C86">
        <w:tab/>
        <w:t>1</w:t>
      </w:r>
      <w:r w:rsidR="006E62B9">
        <w:t>1</w:t>
      </w:r>
    </w:p>
    <w:p w14:paraId="75F5E321" w14:textId="7F9C828B" w:rsidR="00237C86" w:rsidRPr="00237C86" w:rsidRDefault="00237C86" w:rsidP="00E30CDF">
      <w:pPr>
        <w:pStyle w:val="ListParagraph"/>
        <w:numPr>
          <w:ilvl w:val="0"/>
          <w:numId w:val="16"/>
        </w:numPr>
      </w:pPr>
      <w:r w:rsidRPr="00237C86">
        <w:t>Investigation</w:t>
      </w:r>
      <w:r w:rsidRPr="00237C86">
        <w:tab/>
      </w:r>
      <w:r w:rsidR="006E62B9">
        <w:t>N/A</w:t>
      </w:r>
    </w:p>
    <w:p w14:paraId="751760CC" w14:textId="35EB7030" w:rsidR="00237C86" w:rsidRPr="00237C86" w:rsidRDefault="00237C86" w:rsidP="00E30CDF">
      <w:pPr>
        <w:pStyle w:val="ListParagraph"/>
        <w:numPr>
          <w:ilvl w:val="0"/>
          <w:numId w:val="16"/>
        </w:numPr>
      </w:pPr>
      <w:r w:rsidRPr="00237C86">
        <w:t xml:space="preserve">Member </w:t>
      </w:r>
      <w:r w:rsidR="00110022">
        <w:t>–</w:t>
      </w:r>
      <w:r w:rsidRPr="00237C86">
        <w:t xml:space="preserve"> Complaint</w:t>
      </w:r>
      <w:r w:rsidR="00110022">
        <w:t xml:space="preserve"> </w:t>
      </w:r>
      <w:r w:rsidR="006E62B9">
        <w:t>6</w:t>
      </w:r>
    </w:p>
    <w:p w14:paraId="1CE95D09" w14:textId="22FC7F6C" w:rsidR="00237C86" w:rsidRPr="00237C86" w:rsidRDefault="00237C86" w:rsidP="00E30CDF">
      <w:pPr>
        <w:pStyle w:val="ListParagraph"/>
        <w:numPr>
          <w:ilvl w:val="0"/>
          <w:numId w:val="16"/>
        </w:numPr>
      </w:pPr>
      <w:r w:rsidRPr="00237C86">
        <w:t xml:space="preserve">Member </w:t>
      </w:r>
      <w:r w:rsidR="00110022">
        <w:t>–</w:t>
      </w:r>
      <w:r w:rsidRPr="00237C86">
        <w:t xml:space="preserve"> Enquiry</w:t>
      </w:r>
      <w:r w:rsidR="00110022">
        <w:t xml:space="preserve"> </w:t>
      </w:r>
      <w:r w:rsidR="006E62B9">
        <w:t>2</w:t>
      </w:r>
    </w:p>
    <w:p w14:paraId="3FA2DD8A" w14:textId="76BBE014" w:rsidR="00237C86" w:rsidRPr="00237C86" w:rsidRDefault="006E62B9" w:rsidP="00E30CDF">
      <w:pPr>
        <w:pStyle w:val="ListParagraph"/>
        <w:numPr>
          <w:ilvl w:val="0"/>
          <w:numId w:val="16"/>
        </w:numPr>
      </w:pPr>
      <w:r>
        <w:t xml:space="preserve">Assisted </w:t>
      </w:r>
      <w:r w:rsidRPr="00237C86">
        <w:t>Referral</w:t>
      </w:r>
      <w:r>
        <w:t xml:space="preserve"> 3</w:t>
      </w:r>
    </w:p>
    <w:p w14:paraId="6619C49B" w14:textId="77777777" w:rsidR="00237C86" w:rsidRPr="00237C86" w:rsidRDefault="00237C86" w:rsidP="00110022">
      <w:pPr>
        <w:pStyle w:val="Heading3"/>
      </w:pPr>
      <w:r w:rsidRPr="00237C86">
        <w:t>Top Issues</w:t>
      </w:r>
      <w:r w:rsidRPr="00237C86">
        <w:tab/>
      </w:r>
    </w:p>
    <w:p w14:paraId="05986779" w14:textId="5ED9DFA2" w:rsidR="00237C86" w:rsidRPr="00237C86" w:rsidRDefault="00237C86" w:rsidP="00E30CDF">
      <w:pPr>
        <w:pStyle w:val="ListParagraph"/>
        <w:numPr>
          <w:ilvl w:val="0"/>
          <w:numId w:val="17"/>
        </w:numPr>
      </w:pPr>
      <w:r w:rsidRPr="00237C86">
        <w:t>Land and Infrastructure</w:t>
      </w:r>
      <w:r w:rsidR="00110022">
        <w:t xml:space="preserve"> </w:t>
      </w:r>
      <w:r w:rsidR="006E62B9">
        <w:t>12</w:t>
      </w:r>
    </w:p>
    <w:p w14:paraId="42C6356B" w14:textId="65F807C7" w:rsidR="00237C86" w:rsidRPr="00237C86" w:rsidRDefault="00237C86" w:rsidP="00E30CDF">
      <w:pPr>
        <w:pStyle w:val="ListParagraph"/>
        <w:numPr>
          <w:ilvl w:val="0"/>
          <w:numId w:val="17"/>
        </w:numPr>
      </w:pPr>
      <w:r w:rsidRPr="00237C86">
        <w:t>Staff</w:t>
      </w:r>
      <w:r w:rsidR="00110022">
        <w:t xml:space="preserve"> </w:t>
      </w:r>
      <w:r w:rsidRPr="00237C86">
        <w:t>3</w:t>
      </w:r>
    </w:p>
    <w:p w14:paraId="0C71491A" w14:textId="77777777" w:rsidR="00237C86" w:rsidRPr="00237C86" w:rsidRDefault="00237C86" w:rsidP="00110022">
      <w:pPr>
        <w:pStyle w:val="Heading2"/>
      </w:pPr>
      <w:r w:rsidRPr="00237C86">
        <w:t>V/Line</w:t>
      </w:r>
      <w:r w:rsidRPr="00237C86">
        <w:tab/>
      </w:r>
    </w:p>
    <w:p w14:paraId="710E27F5" w14:textId="2B72BB94" w:rsidR="00237C86" w:rsidRPr="00237C86" w:rsidRDefault="00237C86" w:rsidP="00E30CDF">
      <w:pPr>
        <w:pStyle w:val="ListParagraph"/>
        <w:numPr>
          <w:ilvl w:val="0"/>
          <w:numId w:val="18"/>
        </w:numPr>
      </w:pPr>
      <w:r w:rsidRPr="00237C86">
        <w:t>Totals</w:t>
      </w:r>
      <w:r w:rsidRPr="00237C86">
        <w:tab/>
      </w:r>
      <w:r w:rsidR="006E62B9">
        <w:t>454</w:t>
      </w:r>
    </w:p>
    <w:p w14:paraId="471FE714" w14:textId="5266F5B2" w:rsidR="00237C86" w:rsidRPr="00237C86" w:rsidRDefault="00237C86" w:rsidP="00E30CDF">
      <w:pPr>
        <w:pStyle w:val="ListParagraph"/>
        <w:numPr>
          <w:ilvl w:val="0"/>
          <w:numId w:val="18"/>
        </w:numPr>
      </w:pPr>
      <w:r w:rsidRPr="00237C86">
        <w:t>Investigation</w:t>
      </w:r>
      <w:r w:rsidRPr="00237C86">
        <w:tab/>
      </w:r>
      <w:r w:rsidR="006E62B9">
        <w:t>53</w:t>
      </w:r>
    </w:p>
    <w:p w14:paraId="2DF0B485" w14:textId="6D27AE50" w:rsidR="00237C86" w:rsidRPr="00237C86" w:rsidRDefault="00237C86" w:rsidP="00E30CDF">
      <w:pPr>
        <w:pStyle w:val="ListParagraph"/>
        <w:numPr>
          <w:ilvl w:val="0"/>
          <w:numId w:val="18"/>
        </w:numPr>
      </w:pPr>
      <w:r w:rsidRPr="00237C86">
        <w:t xml:space="preserve">Member </w:t>
      </w:r>
      <w:r w:rsidR="00110022">
        <w:t>–</w:t>
      </w:r>
      <w:r w:rsidRPr="00237C86">
        <w:t xml:space="preserve"> Complaint</w:t>
      </w:r>
      <w:r w:rsidR="00110022">
        <w:t xml:space="preserve"> </w:t>
      </w:r>
      <w:r w:rsidR="006E62B9">
        <w:t>208</w:t>
      </w:r>
    </w:p>
    <w:p w14:paraId="064A2C62" w14:textId="25776EB8" w:rsidR="00237C86" w:rsidRPr="00237C86" w:rsidRDefault="00237C86" w:rsidP="00E30CDF">
      <w:pPr>
        <w:pStyle w:val="ListParagraph"/>
        <w:numPr>
          <w:ilvl w:val="0"/>
          <w:numId w:val="18"/>
        </w:numPr>
      </w:pPr>
      <w:r w:rsidRPr="00237C86">
        <w:lastRenderedPageBreak/>
        <w:t xml:space="preserve">Member </w:t>
      </w:r>
      <w:r w:rsidR="00110022">
        <w:t>–</w:t>
      </w:r>
      <w:r w:rsidRPr="00237C86">
        <w:t xml:space="preserve"> Enquiry</w:t>
      </w:r>
      <w:r w:rsidR="00110022">
        <w:t xml:space="preserve"> </w:t>
      </w:r>
      <w:r w:rsidR="006E62B9">
        <w:t>141</w:t>
      </w:r>
    </w:p>
    <w:p w14:paraId="66956BD0" w14:textId="62298A43" w:rsidR="00237C86" w:rsidRPr="00237C86" w:rsidRDefault="006E62B9" w:rsidP="00E30CDF">
      <w:pPr>
        <w:pStyle w:val="ListParagraph"/>
        <w:numPr>
          <w:ilvl w:val="0"/>
          <w:numId w:val="18"/>
        </w:numPr>
      </w:pPr>
      <w:r>
        <w:t xml:space="preserve">Assisted </w:t>
      </w:r>
      <w:r w:rsidRPr="00237C86">
        <w:t>Referral</w:t>
      </w:r>
      <w:r>
        <w:t xml:space="preserve"> 52</w:t>
      </w:r>
    </w:p>
    <w:p w14:paraId="0D55FDF5" w14:textId="77777777" w:rsidR="00237C86" w:rsidRPr="00237C86" w:rsidRDefault="00237C86" w:rsidP="00110022">
      <w:pPr>
        <w:pStyle w:val="Heading3"/>
      </w:pPr>
      <w:r w:rsidRPr="00237C86">
        <w:t>Top Issues</w:t>
      </w:r>
      <w:r w:rsidRPr="00237C86">
        <w:tab/>
      </w:r>
    </w:p>
    <w:p w14:paraId="36FC48FE" w14:textId="4BC5F2A0" w:rsidR="00237C86" w:rsidRPr="00237C86" w:rsidRDefault="00237C86" w:rsidP="00E30CDF">
      <w:pPr>
        <w:pStyle w:val="ListParagraph"/>
        <w:numPr>
          <w:ilvl w:val="0"/>
          <w:numId w:val="19"/>
        </w:numPr>
      </w:pPr>
      <w:r w:rsidRPr="00237C86">
        <w:t>Service Delivery</w:t>
      </w:r>
      <w:r w:rsidR="00110022">
        <w:t xml:space="preserve"> </w:t>
      </w:r>
      <w:r w:rsidR="006E62B9">
        <w:t>250</w:t>
      </w:r>
    </w:p>
    <w:p w14:paraId="0788F977" w14:textId="79B28EA8" w:rsidR="00237C86" w:rsidRPr="00237C86" w:rsidRDefault="00237C86" w:rsidP="00E30CDF">
      <w:pPr>
        <w:pStyle w:val="ListParagraph"/>
        <w:numPr>
          <w:ilvl w:val="0"/>
          <w:numId w:val="19"/>
        </w:numPr>
      </w:pPr>
      <w:r w:rsidRPr="00237C86">
        <w:t>Staff</w:t>
      </w:r>
      <w:r w:rsidR="00110022">
        <w:t xml:space="preserve"> </w:t>
      </w:r>
      <w:r w:rsidRPr="00237C86">
        <w:t>2</w:t>
      </w:r>
      <w:r w:rsidR="006E62B9">
        <w:t>31</w:t>
      </w:r>
    </w:p>
    <w:p w14:paraId="4EF8189D" w14:textId="03BD3BDD" w:rsidR="00237C86" w:rsidRPr="00237C86" w:rsidRDefault="006E62B9" w:rsidP="00E30CDF">
      <w:pPr>
        <w:pStyle w:val="ListParagraph"/>
        <w:numPr>
          <w:ilvl w:val="0"/>
          <w:numId w:val="19"/>
        </w:numPr>
      </w:pPr>
      <w:r w:rsidRPr="00237C86">
        <w:t>Land and Infrastructure</w:t>
      </w:r>
      <w:r>
        <w:t xml:space="preserve"> 75</w:t>
      </w:r>
    </w:p>
    <w:p w14:paraId="1ED52B75" w14:textId="77777777" w:rsidR="00237C86" w:rsidRPr="00237C86" w:rsidRDefault="00237C86" w:rsidP="00237C86"/>
    <w:p w14:paraId="72F0FAF9" w14:textId="5C6BFE61" w:rsidR="00237C86" w:rsidRPr="00237C86" w:rsidRDefault="00110022" w:rsidP="00110022">
      <w:pPr>
        <w:pStyle w:val="Heading2"/>
      </w:pPr>
      <w:r w:rsidRPr="00237C86">
        <w:t>Yarra Trams</w:t>
      </w:r>
      <w:r w:rsidRPr="00237C86">
        <w:tab/>
      </w:r>
    </w:p>
    <w:p w14:paraId="21D909A3" w14:textId="2CD87DBB" w:rsidR="00237C86" w:rsidRPr="00237C86" w:rsidRDefault="00237C86" w:rsidP="00E30CDF">
      <w:pPr>
        <w:pStyle w:val="ListParagraph"/>
        <w:numPr>
          <w:ilvl w:val="0"/>
          <w:numId w:val="20"/>
        </w:numPr>
      </w:pPr>
      <w:r w:rsidRPr="00237C86">
        <w:t>Totals</w:t>
      </w:r>
      <w:r w:rsidRPr="00237C86">
        <w:tab/>
      </w:r>
      <w:r w:rsidR="006E62B9">
        <w:t>219</w:t>
      </w:r>
    </w:p>
    <w:p w14:paraId="1E536A57" w14:textId="54597FE9" w:rsidR="00237C86" w:rsidRPr="00237C86" w:rsidRDefault="00237C86" w:rsidP="00E30CDF">
      <w:pPr>
        <w:pStyle w:val="ListParagraph"/>
        <w:numPr>
          <w:ilvl w:val="0"/>
          <w:numId w:val="20"/>
        </w:numPr>
      </w:pPr>
      <w:r w:rsidRPr="00237C86">
        <w:t>Investigation</w:t>
      </w:r>
      <w:r w:rsidRPr="00237C86">
        <w:tab/>
      </w:r>
      <w:r w:rsidR="006E62B9">
        <w:t>45</w:t>
      </w:r>
    </w:p>
    <w:p w14:paraId="012340F5" w14:textId="46302AB8" w:rsidR="00237C86" w:rsidRPr="00237C86" w:rsidRDefault="00237C86" w:rsidP="00E30CDF">
      <w:pPr>
        <w:pStyle w:val="ListParagraph"/>
        <w:numPr>
          <w:ilvl w:val="0"/>
          <w:numId w:val="20"/>
        </w:numPr>
      </w:pPr>
      <w:r w:rsidRPr="00237C86">
        <w:t xml:space="preserve">Member </w:t>
      </w:r>
      <w:r w:rsidR="00110022">
        <w:t>–</w:t>
      </w:r>
      <w:r w:rsidRPr="00237C86">
        <w:t xml:space="preserve"> Complaint</w:t>
      </w:r>
      <w:r w:rsidR="00110022">
        <w:t xml:space="preserve"> </w:t>
      </w:r>
      <w:r w:rsidRPr="00237C86">
        <w:t>1</w:t>
      </w:r>
      <w:r w:rsidR="006E62B9">
        <w:t>30</w:t>
      </w:r>
    </w:p>
    <w:p w14:paraId="407FB711" w14:textId="6232211C" w:rsidR="00237C86" w:rsidRPr="00237C86" w:rsidRDefault="00237C86" w:rsidP="00E30CDF">
      <w:pPr>
        <w:pStyle w:val="ListParagraph"/>
        <w:numPr>
          <w:ilvl w:val="0"/>
          <w:numId w:val="20"/>
        </w:numPr>
      </w:pPr>
      <w:r w:rsidRPr="00237C86">
        <w:t xml:space="preserve">Member </w:t>
      </w:r>
      <w:r w:rsidR="00110022">
        <w:t>–</w:t>
      </w:r>
      <w:r w:rsidRPr="00237C86">
        <w:t xml:space="preserve"> Enquiry</w:t>
      </w:r>
      <w:r w:rsidR="00110022">
        <w:t xml:space="preserve"> </w:t>
      </w:r>
      <w:r w:rsidR="006E62B9">
        <w:t>18</w:t>
      </w:r>
    </w:p>
    <w:p w14:paraId="7E9EECA0" w14:textId="7D5BA20D" w:rsidR="00237C86" w:rsidRPr="00237C86" w:rsidRDefault="006E62B9" w:rsidP="00E30CDF">
      <w:pPr>
        <w:pStyle w:val="ListParagraph"/>
        <w:numPr>
          <w:ilvl w:val="0"/>
          <w:numId w:val="20"/>
        </w:numPr>
      </w:pPr>
      <w:r>
        <w:t xml:space="preserve">Assisted </w:t>
      </w:r>
      <w:r w:rsidRPr="00237C86">
        <w:t>Referral</w:t>
      </w:r>
      <w:r>
        <w:t xml:space="preserve"> 26</w:t>
      </w:r>
    </w:p>
    <w:p w14:paraId="31E8BF8B" w14:textId="77777777" w:rsidR="00237C86" w:rsidRPr="00237C86" w:rsidRDefault="00237C86" w:rsidP="00110022">
      <w:pPr>
        <w:pStyle w:val="Heading3"/>
      </w:pPr>
      <w:r w:rsidRPr="00237C86">
        <w:t>Top Issues</w:t>
      </w:r>
      <w:r w:rsidRPr="00237C86">
        <w:tab/>
      </w:r>
    </w:p>
    <w:p w14:paraId="338FFADB" w14:textId="2E3DDA77" w:rsidR="006E62B9" w:rsidRDefault="006E62B9" w:rsidP="00E30CDF">
      <w:pPr>
        <w:pStyle w:val="ListParagraph"/>
        <w:numPr>
          <w:ilvl w:val="0"/>
          <w:numId w:val="21"/>
        </w:numPr>
      </w:pPr>
      <w:r w:rsidRPr="00237C86">
        <w:t>Staff</w:t>
      </w:r>
      <w:r>
        <w:t xml:space="preserve"> </w:t>
      </w:r>
      <w:r w:rsidRPr="00237C86">
        <w:t>1</w:t>
      </w:r>
      <w:r>
        <w:t>82</w:t>
      </w:r>
    </w:p>
    <w:p w14:paraId="4909166E" w14:textId="13590AD8" w:rsidR="00237C86" w:rsidRPr="00237C86" w:rsidRDefault="00237C86" w:rsidP="00E30CDF">
      <w:pPr>
        <w:pStyle w:val="ListParagraph"/>
        <w:numPr>
          <w:ilvl w:val="0"/>
          <w:numId w:val="21"/>
        </w:numPr>
      </w:pPr>
      <w:r w:rsidRPr="00237C86">
        <w:t>Service Delivery</w:t>
      </w:r>
      <w:r w:rsidR="00110022">
        <w:t xml:space="preserve"> </w:t>
      </w:r>
      <w:r w:rsidR="006E62B9">
        <w:t>85</w:t>
      </w:r>
    </w:p>
    <w:p w14:paraId="25B8C86F" w14:textId="2F745485" w:rsidR="00EA79ED" w:rsidRPr="00EA79ED" w:rsidRDefault="006E62B9" w:rsidP="00E30CDF">
      <w:pPr>
        <w:pStyle w:val="ListParagraph"/>
        <w:numPr>
          <w:ilvl w:val="0"/>
          <w:numId w:val="21"/>
        </w:numPr>
      </w:pPr>
      <w:r w:rsidRPr="00237C86">
        <w:t>Land and Infrastructure</w:t>
      </w:r>
      <w:r>
        <w:t xml:space="preserve"> 54</w:t>
      </w:r>
    </w:p>
    <w:p w14:paraId="39A70553" w14:textId="36F9BC47" w:rsidR="00237C86" w:rsidRPr="00EA79ED" w:rsidRDefault="00237C86" w:rsidP="00E30CDF">
      <w:pPr>
        <w:pStyle w:val="ListParagraph"/>
        <w:numPr>
          <w:ilvl w:val="0"/>
          <w:numId w:val="21"/>
        </w:numPr>
        <w:rPr>
          <w:b/>
          <w:bCs/>
          <w:sz w:val="36"/>
          <w:szCs w:val="52"/>
        </w:rPr>
      </w:pPr>
      <w:r>
        <w:br w:type="page"/>
      </w:r>
    </w:p>
    <w:p w14:paraId="1680D354" w14:textId="79E74DF7" w:rsidR="00B21EE7" w:rsidRPr="007C0085" w:rsidRDefault="00E74C3A" w:rsidP="001C0EE6">
      <w:pPr>
        <w:pStyle w:val="Heading1"/>
      </w:pPr>
      <w:bookmarkStart w:id="11" w:name="_SUMMARY_FINANCIAL_REPORT"/>
      <w:bookmarkEnd w:id="11"/>
      <w:r w:rsidRPr="007C0085">
        <w:lastRenderedPageBreak/>
        <w:t>SUMMARY FINANCIAL REPORT</w:t>
      </w:r>
    </w:p>
    <w:p w14:paraId="40F6C2E0" w14:textId="77777777" w:rsidR="00076C4A" w:rsidRPr="00FB2906" w:rsidRDefault="00076C4A" w:rsidP="00076C4A">
      <w:pPr>
        <w:spacing w:line="276" w:lineRule="auto"/>
        <w:jc w:val="both"/>
      </w:pPr>
      <w:r w:rsidRPr="00FB2906">
        <w:t xml:space="preserve">The following is a concise version of the Financial Report for the Public Transport Ombudsman Limited for the year ending 30 June 2020. The financial statements and specific disclosures contained in this concise financial report have been derived from the full financial report and </w:t>
      </w:r>
      <w:r w:rsidRPr="00FB2906">
        <w:rPr>
          <w:bCs/>
        </w:rPr>
        <w:t>the concise financial report cannot be expected to provide as full an understanding of the financial performance, financial position and financing and investing activities of the entity as the financial report.</w:t>
      </w:r>
      <w:r w:rsidRPr="00FB2906">
        <w:t xml:space="preserve">  </w:t>
      </w:r>
    </w:p>
    <w:p w14:paraId="559EDDB8" w14:textId="77777777" w:rsidR="00076C4A" w:rsidRPr="00FB2906" w:rsidRDefault="00076C4A" w:rsidP="00076C4A">
      <w:pPr>
        <w:spacing w:line="276" w:lineRule="auto"/>
        <w:jc w:val="both"/>
      </w:pPr>
      <w:r w:rsidRPr="00FB2906">
        <w:rPr>
          <w:sz w:val="28"/>
          <w:szCs w:val="28"/>
        </w:rPr>
        <w:t>Discussion and analysis of the Comprehensive Income Statement</w:t>
      </w:r>
    </w:p>
    <w:p w14:paraId="4AACCD96" w14:textId="77777777" w:rsidR="00076C4A" w:rsidRPr="00FB2906" w:rsidRDefault="00076C4A" w:rsidP="00076C4A">
      <w:pPr>
        <w:pStyle w:val="BodyText"/>
        <w:spacing w:line="276" w:lineRule="auto"/>
        <w:jc w:val="both"/>
        <w:rPr>
          <w:sz w:val="22"/>
        </w:rPr>
      </w:pPr>
      <w:r w:rsidRPr="00FB2906">
        <w:rPr>
          <w:b/>
          <w:sz w:val="22"/>
        </w:rPr>
        <w:t>Revenue from ordinary activities –</w:t>
      </w:r>
      <w:r w:rsidRPr="00FB2906">
        <w:rPr>
          <w:sz w:val="22"/>
        </w:rPr>
        <w:t xml:space="preserve"> Revenue for the period ending 30 June 2020 was $2,319,415</w:t>
      </w:r>
      <w:r w:rsidRPr="00FB2906">
        <w:rPr>
          <w:rFonts w:cs="Arial"/>
          <w:sz w:val="22"/>
          <w:szCs w:val="22"/>
        </w:rPr>
        <w:t xml:space="preserve">. </w:t>
      </w:r>
      <w:r w:rsidRPr="00FB2906">
        <w:rPr>
          <w:sz w:val="22"/>
        </w:rPr>
        <w:t>This was derived from the following sources:</w:t>
      </w:r>
    </w:p>
    <w:p w14:paraId="6257C2FD" w14:textId="77777777" w:rsidR="00076C4A" w:rsidRPr="00FB2906" w:rsidRDefault="00076C4A" w:rsidP="00E30CDF">
      <w:pPr>
        <w:pStyle w:val="BodyText"/>
        <w:widowControl/>
        <w:numPr>
          <w:ilvl w:val="0"/>
          <w:numId w:val="36"/>
        </w:numPr>
        <w:autoSpaceDE/>
        <w:autoSpaceDN/>
        <w:spacing w:line="276" w:lineRule="auto"/>
        <w:rPr>
          <w:sz w:val="22"/>
        </w:rPr>
      </w:pPr>
      <w:r w:rsidRPr="00FB2906">
        <w:rPr>
          <w:sz w:val="22"/>
        </w:rPr>
        <w:t>Annual Levies from Members: $</w:t>
      </w:r>
      <w:r w:rsidRPr="00FB2906">
        <w:rPr>
          <w:rFonts w:cs="Arial"/>
          <w:sz w:val="22"/>
          <w:szCs w:val="22"/>
        </w:rPr>
        <w:t>2,258,447</w:t>
      </w:r>
    </w:p>
    <w:p w14:paraId="5BE05965" w14:textId="77777777" w:rsidR="00076C4A" w:rsidRPr="00FB2906" w:rsidRDefault="00076C4A" w:rsidP="00E30CDF">
      <w:pPr>
        <w:pStyle w:val="BodyText"/>
        <w:widowControl/>
        <w:numPr>
          <w:ilvl w:val="0"/>
          <w:numId w:val="36"/>
        </w:numPr>
        <w:autoSpaceDE/>
        <w:autoSpaceDN/>
        <w:spacing w:line="276" w:lineRule="auto"/>
        <w:rPr>
          <w:sz w:val="22"/>
        </w:rPr>
      </w:pPr>
      <w:r w:rsidRPr="00FB2906">
        <w:rPr>
          <w:sz w:val="22"/>
        </w:rPr>
        <w:t>Profit on sale of PPE: $45; and</w:t>
      </w:r>
    </w:p>
    <w:p w14:paraId="48D270B3" w14:textId="77777777" w:rsidR="00076C4A" w:rsidRPr="00FB2906" w:rsidRDefault="00076C4A" w:rsidP="00E30CDF">
      <w:pPr>
        <w:pStyle w:val="BodyText"/>
        <w:widowControl/>
        <w:numPr>
          <w:ilvl w:val="0"/>
          <w:numId w:val="36"/>
        </w:numPr>
        <w:autoSpaceDE/>
        <w:autoSpaceDN/>
        <w:spacing w:line="276" w:lineRule="auto"/>
        <w:rPr>
          <w:sz w:val="22"/>
        </w:rPr>
      </w:pPr>
      <w:r w:rsidRPr="00FB2906">
        <w:rPr>
          <w:sz w:val="22"/>
        </w:rPr>
        <w:t>Other Income: $63,923</w:t>
      </w:r>
    </w:p>
    <w:p w14:paraId="4C3A6A47" w14:textId="77777777" w:rsidR="00076C4A" w:rsidRPr="00FB2906" w:rsidRDefault="00076C4A" w:rsidP="00076C4A">
      <w:pPr>
        <w:pStyle w:val="BodyText"/>
        <w:spacing w:line="276" w:lineRule="auto"/>
        <w:jc w:val="both"/>
        <w:rPr>
          <w:sz w:val="22"/>
        </w:rPr>
      </w:pPr>
      <w:r w:rsidRPr="00FB2906">
        <w:rPr>
          <w:b/>
          <w:sz w:val="22"/>
        </w:rPr>
        <w:t>Operating Expenses –</w:t>
      </w:r>
      <w:r w:rsidRPr="00FB2906">
        <w:rPr>
          <w:sz w:val="22"/>
        </w:rPr>
        <w:t xml:space="preserve"> Operating Expenses for the period ending 30 June 2020 were $2,193,234. The majority of operating expenses were employee benefits ($</w:t>
      </w:r>
      <w:r w:rsidRPr="00FB2906">
        <w:rPr>
          <w:rFonts w:cs="Arial"/>
          <w:sz w:val="22"/>
          <w:szCs w:val="22"/>
        </w:rPr>
        <w:t>1,674,082</w:t>
      </w:r>
      <w:r w:rsidRPr="00FB2906">
        <w:rPr>
          <w:sz w:val="22"/>
        </w:rPr>
        <w:t xml:space="preserve">), telephone and IT expenses ($141,270), depreciation and amortisation expenses (149,195) and occupancy expenses ($48,685). </w:t>
      </w:r>
    </w:p>
    <w:p w14:paraId="780C0B2B" w14:textId="77777777" w:rsidR="00076C4A" w:rsidRPr="00FB2906" w:rsidRDefault="00076C4A" w:rsidP="00076C4A">
      <w:pPr>
        <w:pStyle w:val="BodyText"/>
        <w:spacing w:line="276" w:lineRule="auto"/>
        <w:jc w:val="both"/>
        <w:rPr>
          <w:sz w:val="22"/>
        </w:rPr>
      </w:pPr>
      <w:r w:rsidRPr="00FB2906">
        <w:rPr>
          <w:b/>
          <w:sz w:val="22"/>
          <w:szCs w:val="22"/>
        </w:rPr>
        <w:t xml:space="preserve">Income Tax </w:t>
      </w:r>
      <w:r w:rsidRPr="00FB2906">
        <w:rPr>
          <w:b/>
        </w:rPr>
        <w:t>-</w:t>
      </w:r>
      <w:r w:rsidRPr="00FB2906">
        <w:rPr>
          <w:sz w:val="22"/>
        </w:rPr>
        <w:t>The Australian Taxation Office (“ATO”) issued a private tax ruling declaring that the company is deemed exempt from income tax for the financial years ending 30 June 2019 to 30 June 2022.</w:t>
      </w:r>
    </w:p>
    <w:p w14:paraId="0115679D" w14:textId="77777777" w:rsidR="00076C4A" w:rsidRPr="00FB2906" w:rsidRDefault="00076C4A" w:rsidP="00076C4A">
      <w:pPr>
        <w:spacing w:line="276" w:lineRule="auto"/>
        <w:jc w:val="both"/>
        <w:rPr>
          <w:sz w:val="28"/>
          <w:szCs w:val="28"/>
        </w:rPr>
      </w:pPr>
      <w:r w:rsidRPr="00FB2906">
        <w:rPr>
          <w:sz w:val="28"/>
          <w:szCs w:val="28"/>
        </w:rPr>
        <w:t>Discussion and analysis of the Statement of Financial Position</w:t>
      </w:r>
    </w:p>
    <w:p w14:paraId="2D34903C" w14:textId="77777777" w:rsidR="00076C4A" w:rsidRPr="00FB2906" w:rsidRDefault="00076C4A" w:rsidP="00076C4A">
      <w:pPr>
        <w:spacing w:line="276" w:lineRule="auto"/>
        <w:jc w:val="both"/>
        <w:rPr>
          <w:color w:val="000000" w:themeColor="text1"/>
          <w:sz w:val="22"/>
          <w:szCs w:val="22"/>
        </w:rPr>
      </w:pPr>
      <w:r w:rsidRPr="00FB2906">
        <w:rPr>
          <w:b/>
          <w:color w:val="000000" w:themeColor="text1"/>
          <w:sz w:val="22"/>
          <w:szCs w:val="22"/>
        </w:rPr>
        <w:t>Total Assets –</w:t>
      </w:r>
      <w:r w:rsidRPr="00FB2906">
        <w:rPr>
          <w:color w:val="000000" w:themeColor="text1"/>
          <w:sz w:val="22"/>
          <w:szCs w:val="22"/>
        </w:rPr>
        <w:t xml:space="preserve"> Total assets increased by $299,599 during the period due primarily to an increase in total current assets of $65,440 and an increase in non-current assets of $234,159.</w:t>
      </w:r>
    </w:p>
    <w:p w14:paraId="548E08FE" w14:textId="77777777" w:rsidR="00076C4A" w:rsidRPr="00FB2906" w:rsidRDefault="00076C4A" w:rsidP="00076C4A">
      <w:pPr>
        <w:spacing w:line="276" w:lineRule="auto"/>
        <w:jc w:val="both"/>
        <w:rPr>
          <w:sz w:val="22"/>
          <w:szCs w:val="22"/>
        </w:rPr>
      </w:pPr>
      <w:r w:rsidRPr="00FB2906">
        <w:rPr>
          <w:b/>
          <w:sz w:val="22"/>
          <w:szCs w:val="22"/>
        </w:rPr>
        <w:t>Total Liabilities –</w:t>
      </w:r>
      <w:r w:rsidRPr="00FB2906">
        <w:rPr>
          <w:sz w:val="22"/>
          <w:szCs w:val="22"/>
        </w:rPr>
        <w:t xml:space="preserve"> Total Liabilities increased by $173,418 during the period. This is due to an increase in total current liabilities of $94,811 and non-current liabilities of $78,607. </w:t>
      </w:r>
    </w:p>
    <w:p w14:paraId="67FBCA48" w14:textId="77777777" w:rsidR="00076C4A" w:rsidRPr="00FB2906" w:rsidRDefault="00076C4A" w:rsidP="00076C4A">
      <w:pPr>
        <w:spacing w:line="276" w:lineRule="auto"/>
        <w:jc w:val="both"/>
        <w:rPr>
          <w:sz w:val="28"/>
          <w:szCs w:val="28"/>
        </w:rPr>
      </w:pPr>
      <w:r w:rsidRPr="00FB2906">
        <w:rPr>
          <w:sz w:val="28"/>
          <w:szCs w:val="28"/>
        </w:rPr>
        <w:t>Discussion and analysis of the statement of cash flows</w:t>
      </w:r>
    </w:p>
    <w:p w14:paraId="418C11C2" w14:textId="77777777" w:rsidR="00076C4A" w:rsidRPr="00FB2906" w:rsidRDefault="00076C4A" w:rsidP="00076C4A">
      <w:pPr>
        <w:tabs>
          <w:tab w:val="left" w:pos="567"/>
          <w:tab w:val="left" w:pos="993"/>
        </w:tabs>
        <w:spacing w:line="276" w:lineRule="auto"/>
        <w:jc w:val="both"/>
        <w:rPr>
          <w:sz w:val="22"/>
        </w:rPr>
      </w:pPr>
      <w:r w:rsidRPr="00FB2906">
        <w:rPr>
          <w:b/>
          <w:sz w:val="22"/>
          <w:szCs w:val="22"/>
        </w:rPr>
        <w:t>Cash Flows from Operating Activities -</w:t>
      </w:r>
      <w:r w:rsidRPr="00FB2906">
        <w:rPr>
          <w:sz w:val="22"/>
          <w:szCs w:val="22"/>
        </w:rPr>
        <w:t xml:space="preserve"> </w:t>
      </w:r>
      <w:r w:rsidRPr="00FB2906">
        <w:rPr>
          <w:sz w:val="22"/>
        </w:rPr>
        <w:t>Cash at the end of the financial year as shown in the statements of cash flows is $1,071,689. This was derived from:</w:t>
      </w:r>
    </w:p>
    <w:p w14:paraId="35922501" w14:textId="77777777" w:rsidR="00076C4A" w:rsidRPr="00FB2906" w:rsidRDefault="00076C4A" w:rsidP="00E30CDF">
      <w:pPr>
        <w:numPr>
          <w:ilvl w:val="0"/>
          <w:numId w:val="37"/>
        </w:numPr>
        <w:tabs>
          <w:tab w:val="left" w:pos="567"/>
          <w:tab w:val="left" w:pos="993"/>
        </w:tabs>
        <w:spacing w:line="276" w:lineRule="auto"/>
        <w:jc w:val="both"/>
        <w:rPr>
          <w:sz w:val="22"/>
        </w:rPr>
      </w:pPr>
      <w:r w:rsidRPr="00FB2906">
        <w:rPr>
          <w:sz w:val="22"/>
        </w:rPr>
        <w:t>Cash inflow from operating activities $328,235</w:t>
      </w:r>
    </w:p>
    <w:p w14:paraId="42A275EC" w14:textId="77777777" w:rsidR="00076C4A" w:rsidRPr="00FB2906" w:rsidRDefault="00076C4A" w:rsidP="00E30CDF">
      <w:pPr>
        <w:numPr>
          <w:ilvl w:val="0"/>
          <w:numId w:val="37"/>
        </w:numPr>
        <w:tabs>
          <w:tab w:val="left" w:pos="567"/>
          <w:tab w:val="left" w:pos="993"/>
        </w:tabs>
        <w:spacing w:line="276" w:lineRule="auto"/>
        <w:jc w:val="both"/>
        <w:rPr>
          <w:sz w:val="22"/>
        </w:rPr>
      </w:pPr>
      <w:r w:rsidRPr="00FB2906">
        <w:rPr>
          <w:sz w:val="22"/>
        </w:rPr>
        <w:t>Cash outflow from investing activities ($28,383)</w:t>
      </w:r>
    </w:p>
    <w:p w14:paraId="6D92C16A" w14:textId="77777777" w:rsidR="00076C4A" w:rsidRPr="00FB2906" w:rsidRDefault="00076C4A" w:rsidP="00E30CDF">
      <w:pPr>
        <w:numPr>
          <w:ilvl w:val="0"/>
          <w:numId w:val="37"/>
        </w:numPr>
        <w:tabs>
          <w:tab w:val="left" w:pos="567"/>
          <w:tab w:val="left" w:pos="993"/>
        </w:tabs>
        <w:spacing w:line="276" w:lineRule="auto"/>
        <w:jc w:val="both"/>
        <w:rPr>
          <w:sz w:val="22"/>
        </w:rPr>
      </w:pPr>
      <w:r w:rsidRPr="00FB2906">
        <w:rPr>
          <w:sz w:val="22"/>
        </w:rPr>
        <w:t>Cash outflow from financing activities ($122,149); and</w:t>
      </w:r>
    </w:p>
    <w:p w14:paraId="3212E1D1" w14:textId="77777777" w:rsidR="00076C4A" w:rsidRPr="00FB2906" w:rsidRDefault="00076C4A" w:rsidP="00E30CDF">
      <w:pPr>
        <w:numPr>
          <w:ilvl w:val="0"/>
          <w:numId w:val="37"/>
        </w:numPr>
        <w:tabs>
          <w:tab w:val="left" w:pos="567"/>
          <w:tab w:val="left" w:pos="993"/>
        </w:tabs>
        <w:spacing w:line="276" w:lineRule="auto"/>
        <w:jc w:val="both"/>
        <w:rPr>
          <w:sz w:val="22"/>
        </w:rPr>
      </w:pPr>
      <w:r w:rsidRPr="00FB2906">
        <w:rPr>
          <w:sz w:val="22"/>
        </w:rPr>
        <w:t>Cash and cash equivalents at the beginning of financial year $893,986.</w:t>
      </w:r>
    </w:p>
    <w:p w14:paraId="196DCE65" w14:textId="77777777" w:rsidR="00076C4A" w:rsidRPr="00FB2906" w:rsidRDefault="00076C4A" w:rsidP="00076C4A">
      <w:pPr>
        <w:tabs>
          <w:tab w:val="left" w:pos="567"/>
          <w:tab w:val="left" w:pos="993"/>
        </w:tabs>
        <w:spacing w:line="276" w:lineRule="auto"/>
        <w:jc w:val="both"/>
        <w:rPr>
          <w:sz w:val="22"/>
        </w:rPr>
      </w:pPr>
      <w:r w:rsidRPr="00FB2906">
        <w:rPr>
          <w:i/>
          <w:iCs/>
          <w:sz w:val="18"/>
          <w:szCs w:val="18"/>
        </w:rPr>
        <w:lastRenderedPageBreak/>
        <w:t>Audited Financial Statements and Directors’ Report for the Public Transport Ombudsman Limited have been lodged with ASIC in accordance with the Corporations Act requirements</w:t>
      </w:r>
      <w:r w:rsidRPr="00FB2906">
        <w:rPr>
          <w:sz w:val="22"/>
        </w:rPr>
        <w:t>.</w:t>
      </w:r>
      <w:r w:rsidRPr="00FB2906">
        <w:br w:type="page"/>
      </w:r>
    </w:p>
    <w:p w14:paraId="2493A666" w14:textId="77777777" w:rsidR="00076C4A" w:rsidRPr="00FB2906" w:rsidRDefault="00076C4A" w:rsidP="00076C4A">
      <w:pPr>
        <w:pStyle w:val="Heading1"/>
        <w:spacing w:line="276" w:lineRule="auto"/>
      </w:pPr>
      <w:bookmarkStart w:id="12" w:name="_Toc237075421"/>
      <w:r w:rsidRPr="00FB2906">
        <w:lastRenderedPageBreak/>
        <w:t>Income Statement</w:t>
      </w:r>
      <w:bookmarkEnd w:id="12"/>
    </w:p>
    <w:p w14:paraId="4F636940" w14:textId="77777777" w:rsidR="00076C4A" w:rsidRPr="00FB2906" w:rsidRDefault="00076C4A" w:rsidP="00076C4A">
      <w:pPr>
        <w:widowControl w:val="0"/>
        <w:spacing w:line="276" w:lineRule="auto"/>
        <w:ind w:right="91"/>
        <w:rPr>
          <w:rFonts w:eastAsia="Arial Narrow" w:cs="Arial Narrow"/>
          <w:color w:val="595959" w:themeColor="text1" w:themeTint="A6"/>
          <w:lang w:val="en-US"/>
        </w:rPr>
      </w:pPr>
      <w:r w:rsidRPr="00FB2906">
        <w:rPr>
          <w:rFonts w:eastAsia="Arial Narrow" w:cs="Arial Narrow"/>
          <w:b/>
          <w:bCs/>
          <w:color w:val="595959" w:themeColor="text1" w:themeTint="A6"/>
          <w:position w:val="-1"/>
          <w:lang w:val="en-US"/>
        </w:rPr>
        <w:t>for</w:t>
      </w:r>
      <w:r w:rsidRPr="00FB2906">
        <w:rPr>
          <w:rFonts w:eastAsia="Arial Narrow" w:cs="Arial Narrow"/>
          <w:b/>
          <w:bCs/>
          <w:color w:val="595959" w:themeColor="text1" w:themeTint="A6"/>
          <w:spacing w:val="-3"/>
          <w:position w:val="-1"/>
          <w:lang w:val="en-US"/>
        </w:rPr>
        <w:t xml:space="preserve"> </w:t>
      </w:r>
      <w:r w:rsidRPr="00FB2906">
        <w:rPr>
          <w:rFonts w:eastAsia="Arial Narrow" w:cs="Arial Narrow"/>
          <w:b/>
          <w:bCs/>
          <w:color w:val="595959" w:themeColor="text1" w:themeTint="A6"/>
          <w:position w:val="-1"/>
          <w:lang w:val="en-US"/>
        </w:rPr>
        <w:t>the</w:t>
      </w:r>
      <w:r w:rsidRPr="00FB2906">
        <w:rPr>
          <w:rFonts w:eastAsia="Arial Narrow" w:cs="Arial Narrow"/>
          <w:b/>
          <w:bCs/>
          <w:color w:val="595959" w:themeColor="text1" w:themeTint="A6"/>
          <w:spacing w:val="-3"/>
          <w:position w:val="-1"/>
          <w:lang w:val="en-US"/>
        </w:rPr>
        <w:t xml:space="preserve"> </w:t>
      </w:r>
      <w:r w:rsidRPr="00FB2906">
        <w:rPr>
          <w:rFonts w:eastAsia="Arial Narrow" w:cs="Arial Narrow"/>
          <w:b/>
          <w:bCs/>
          <w:color w:val="595959" w:themeColor="text1" w:themeTint="A6"/>
          <w:position w:val="-1"/>
          <w:lang w:val="en-US"/>
        </w:rPr>
        <w:t>year</w:t>
      </w:r>
      <w:r w:rsidRPr="00FB2906">
        <w:rPr>
          <w:rFonts w:eastAsia="Arial Narrow" w:cs="Arial Narrow"/>
          <w:b/>
          <w:bCs/>
          <w:color w:val="595959" w:themeColor="text1" w:themeTint="A6"/>
          <w:spacing w:val="-4"/>
          <w:position w:val="-1"/>
          <w:lang w:val="en-US"/>
        </w:rPr>
        <w:t xml:space="preserve"> </w:t>
      </w:r>
      <w:r w:rsidRPr="00FB2906">
        <w:rPr>
          <w:rFonts w:eastAsia="Arial Narrow" w:cs="Arial Narrow"/>
          <w:b/>
          <w:bCs/>
          <w:color w:val="595959" w:themeColor="text1" w:themeTint="A6"/>
          <w:position w:val="-1"/>
          <w:lang w:val="en-US"/>
        </w:rPr>
        <w:t>ended</w:t>
      </w:r>
      <w:r w:rsidRPr="00FB2906">
        <w:rPr>
          <w:rFonts w:eastAsia="Arial Narrow" w:cs="Arial Narrow"/>
          <w:b/>
          <w:bCs/>
          <w:color w:val="595959" w:themeColor="text1" w:themeTint="A6"/>
          <w:spacing w:val="-5"/>
          <w:position w:val="-1"/>
          <w:lang w:val="en-US"/>
        </w:rPr>
        <w:t xml:space="preserve"> </w:t>
      </w:r>
      <w:r w:rsidRPr="00FB2906">
        <w:rPr>
          <w:rFonts w:eastAsia="Arial Narrow" w:cs="Arial Narrow"/>
          <w:b/>
          <w:bCs/>
          <w:color w:val="595959" w:themeColor="text1" w:themeTint="A6"/>
          <w:position w:val="-1"/>
          <w:lang w:val="en-US"/>
        </w:rPr>
        <w:t>30</w:t>
      </w:r>
      <w:r w:rsidRPr="00FB2906">
        <w:rPr>
          <w:rFonts w:eastAsia="Arial Narrow" w:cs="Arial Narrow"/>
          <w:b/>
          <w:bCs/>
          <w:color w:val="595959" w:themeColor="text1" w:themeTint="A6"/>
          <w:spacing w:val="-1"/>
          <w:position w:val="-1"/>
          <w:lang w:val="en-US"/>
        </w:rPr>
        <w:t xml:space="preserve"> </w:t>
      </w:r>
      <w:r w:rsidRPr="00FB2906">
        <w:rPr>
          <w:rFonts w:eastAsia="Arial Narrow" w:cs="Arial Narrow"/>
          <w:b/>
          <w:bCs/>
          <w:color w:val="595959" w:themeColor="text1" w:themeTint="A6"/>
          <w:position w:val="-1"/>
          <w:lang w:val="en-US"/>
        </w:rPr>
        <w:t>June</w:t>
      </w:r>
      <w:r w:rsidRPr="00FB2906">
        <w:rPr>
          <w:rFonts w:eastAsia="Arial Narrow" w:cs="Arial Narrow"/>
          <w:b/>
          <w:bCs/>
          <w:color w:val="595959" w:themeColor="text1" w:themeTint="A6"/>
          <w:spacing w:val="-3"/>
          <w:position w:val="-1"/>
          <w:lang w:val="en-US"/>
        </w:rPr>
        <w:t xml:space="preserve"> </w:t>
      </w:r>
      <w:r w:rsidRPr="00FB2906">
        <w:rPr>
          <w:rFonts w:eastAsia="Arial Narrow" w:cs="Arial Narrow"/>
          <w:b/>
          <w:bCs/>
          <w:color w:val="595959" w:themeColor="text1" w:themeTint="A6"/>
          <w:position w:val="-1"/>
          <w:lang w:val="en-US"/>
        </w:rPr>
        <w:t>2020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6"/>
        <w:gridCol w:w="868"/>
        <w:gridCol w:w="1915"/>
        <w:gridCol w:w="1915"/>
      </w:tblGrid>
      <w:tr w:rsidR="00076C4A" w:rsidRPr="00FB2906" w14:paraId="6B3AFC8D" w14:textId="77777777" w:rsidTr="00E435E4">
        <w:trPr>
          <w:trHeight w:val="397"/>
        </w:trPr>
        <w:tc>
          <w:tcPr>
            <w:tcW w:w="4656" w:type="dxa"/>
          </w:tcPr>
          <w:p w14:paraId="33C9A00E" w14:textId="77777777" w:rsidR="00076C4A" w:rsidRPr="00FB2906" w:rsidRDefault="00076C4A" w:rsidP="00E435E4">
            <w:pPr>
              <w:spacing w:line="276" w:lineRule="auto"/>
              <w:ind w:right="91"/>
            </w:pPr>
          </w:p>
        </w:tc>
        <w:tc>
          <w:tcPr>
            <w:tcW w:w="868" w:type="dxa"/>
            <w:vAlign w:val="center"/>
          </w:tcPr>
          <w:p w14:paraId="590E10D3" w14:textId="77777777" w:rsidR="00076C4A" w:rsidRPr="00FB2906" w:rsidRDefault="00076C4A" w:rsidP="00E435E4">
            <w:pPr>
              <w:spacing w:line="276" w:lineRule="auto"/>
              <w:ind w:right="91"/>
              <w:jc w:val="right"/>
              <w:rPr>
                <w:b/>
              </w:rPr>
            </w:pPr>
          </w:p>
        </w:tc>
        <w:tc>
          <w:tcPr>
            <w:tcW w:w="1915" w:type="dxa"/>
            <w:vAlign w:val="center"/>
          </w:tcPr>
          <w:p w14:paraId="0BA86365" w14:textId="77777777" w:rsidR="00076C4A" w:rsidRPr="00FB2906" w:rsidRDefault="00076C4A" w:rsidP="00E435E4">
            <w:pPr>
              <w:tabs>
                <w:tab w:val="left" w:pos="583"/>
              </w:tabs>
              <w:spacing w:line="276" w:lineRule="auto"/>
              <w:ind w:right="91"/>
              <w:jc w:val="right"/>
              <w:rPr>
                <w:b/>
              </w:rPr>
            </w:pPr>
            <w:r w:rsidRPr="00FB2906">
              <w:rPr>
                <w:b/>
              </w:rPr>
              <w:t>2020</w:t>
            </w:r>
          </w:p>
        </w:tc>
        <w:tc>
          <w:tcPr>
            <w:tcW w:w="1915" w:type="dxa"/>
            <w:vAlign w:val="center"/>
          </w:tcPr>
          <w:p w14:paraId="55F9CD04" w14:textId="77777777" w:rsidR="00076C4A" w:rsidRPr="00FB2906" w:rsidRDefault="00076C4A" w:rsidP="00E435E4">
            <w:pPr>
              <w:spacing w:line="276" w:lineRule="auto"/>
              <w:ind w:right="91"/>
              <w:jc w:val="right"/>
              <w:rPr>
                <w:b/>
              </w:rPr>
            </w:pPr>
            <w:r w:rsidRPr="00FB2906">
              <w:rPr>
                <w:b/>
              </w:rPr>
              <w:t>2019</w:t>
            </w:r>
          </w:p>
        </w:tc>
      </w:tr>
      <w:tr w:rsidR="00076C4A" w:rsidRPr="00FB2906" w14:paraId="7064D156" w14:textId="77777777" w:rsidTr="00E435E4">
        <w:trPr>
          <w:trHeight w:val="397"/>
        </w:trPr>
        <w:tc>
          <w:tcPr>
            <w:tcW w:w="4656" w:type="dxa"/>
            <w:tcBorders>
              <w:bottom w:val="single" w:sz="2" w:space="0" w:color="auto"/>
            </w:tcBorders>
          </w:tcPr>
          <w:p w14:paraId="50F78EDB" w14:textId="77777777" w:rsidR="00076C4A" w:rsidRPr="00FB2906" w:rsidRDefault="00076C4A" w:rsidP="00E435E4">
            <w:pPr>
              <w:spacing w:line="276" w:lineRule="auto"/>
              <w:ind w:right="91"/>
            </w:pPr>
          </w:p>
        </w:tc>
        <w:tc>
          <w:tcPr>
            <w:tcW w:w="868" w:type="dxa"/>
            <w:tcBorders>
              <w:bottom w:val="single" w:sz="2" w:space="0" w:color="auto"/>
            </w:tcBorders>
          </w:tcPr>
          <w:p w14:paraId="4430351C" w14:textId="77777777" w:rsidR="00076C4A" w:rsidRPr="00FB2906" w:rsidRDefault="00076C4A" w:rsidP="00E435E4">
            <w:pPr>
              <w:spacing w:line="276" w:lineRule="auto"/>
              <w:ind w:right="91"/>
              <w:rPr>
                <w:b/>
              </w:rPr>
            </w:pPr>
          </w:p>
        </w:tc>
        <w:tc>
          <w:tcPr>
            <w:tcW w:w="1915" w:type="dxa"/>
            <w:vAlign w:val="center"/>
          </w:tcPr>
          <w:p w14:paraId="08724CF1" w14:textId="77777777" w:rsidR="00076C4A" w:rsidRPr="00FB2906" w:rsidRDefault="00076C4A" w:rsidP="00E435E4">
            <w:pPr>
              <w:spacing w:line="276" w:lineRule="auto"/>
              <w:ind w:right="91"/>
              <w:jc w:val="right"/>
              <w:rPr>
                <w:b/>
              </w:rPr>
            </w:pPr>
            <w:r w:rsidRPr="00FB2906">
              <w:rPr>
                <w:b/>
              </w:rPr>
              <w:t>$</w:t>
            </w:r>
          </w:p>
        </w:tc>
        <w:tc>
          <w:tcPr>
            <w:tcW w:w="1915" w:type="dxa"/>
            <w:vAlign w:val="center"/>
          </w:tcPr>
          <w:p w14:paraId="23FE5DE5" w14:textId="77777777" w:rsidR="00076C4A" w:rsidRPr="00FB2906" w:rsidRDefault="00076C4A" w:rsidP="00E435E4">
            <w:pPr>
              <w:spacing w:line="276" w:lineRule="auto"/>
              <w:ind w:right="91"/>
              <w:jc w:val="right"/>
              <w:rPr>
                <w:b/>
              </w:rPr>
            </w:pPr>
            <w:r w:rsidRPr="00FB2906">
              <w:rPr>
                <w:b/>
              </w:rPr>
              <w:t>$</w:t>
            </w:r>
          </w:p>
        </w:tc>
      </w:tr>
      <w:tr w:rsidR="00076C4A" w:rsidRPr="00FB2906" w14:paraId="05D10F03" w14:textId="77777777" w:rsidTr="00E435E4">
        <w:trPr>
          <w:trHeight w:val="397"/>
        </w:trPr>
        <w:tc>
          <w:tcPr>
            <w:tcW w:w="4656" w:type="dxa"/>
            <w:tcBorders>
              <w:top w:val="single" w:sz="2" w:space="0" w:color="auto"/>
            </w:tcBorders>
            <w:vAlign w:val="center"/>
          </w:tcPr>
          <w:p w14:paraId="66BFC474" w14:textId="77777777" w:rsidR="00076C4A" w:rsidRPr="00FB2906" w:rsidRDefault="00076C4A" w:rsidP="00E435E4">
            <w:pPr>
              <w:spacing w:line="276" w:lineRule="auto"/>
              <w:ind w:right="91"/>
            </w:pPr>
            <w:r w:rsidRPr="00FB2906">
              <w:rPr>
                <w:b/>
              </w:rPr>
              <w:t>Revenue</w:t>
            </w:r>
          </w:p>
        </w:tc>
        <w:tc>
          <w:tcPr>
            <w:tcW w:w="868" w:type="dxa"/>
            <w:tcBorders>
              <w:top w:val="single" w:sz="2" w:space="0" w:color="auto"/>
            </w:tcBorders>
            <w:vAlign w:val="center"/>
          </w:tcPr>
          <w:p w14:paraId="65E08BDA" w14:textId="77777777" w:rsidR="00076C4A" w:rsidRPr="00FB2906" w:rsidRDefault="00076C4A" w:rsidP="00E435E4">
            <w:pPr>
              <w:spacing w:line="276" w:lineRule="auto"/>
              <w:ind w:right="91"/>
              <w:jc w:val="right"/>
            </w:pPr>
          </w:p>
        </w:tc>
        <w:tc>
          <w:tcPr>
            <w:tcW w:w="1915" w:type="dxa"/>
            <w:tcBorders>
              <w:top w:val="single" w:sz="4" w:space="0" w:color="auto"/>
            </w:tcBorders>
            <w:vAlign w:val="center"/>
          </w:tcPr>
          <w:p w14:paraId="726211BE" w14:textId="77777777" w:rsidR="00076C4A" w:rsidRPr="00FB2906" w:rsidRDefault="00076C4A" w:rsidP="00E435E4">
            <w:pPr>
              <w:spacing w:line="276" w:lineRule="auto"/>
              <w:ind w:right="91"/>
              <w:jc w:val="right"/>
              <w:rPr>
                <w:b/>
              </w:rPr>
            </w:pPr>
            <w:r w:rsidRPr="00FB2906">
              <w:rPr>
                <w:b/>
              </w:rPr>
              <w:t>2,319,415</w:t>
            </w:r>
          </w:p>
        </w:tc>
        <w:tc>
          <w:tcPr>
            <w:tcW w:w="1915" w:type="dxa"/>
            <w:tcBorders>
              <w:top w:val="single" w:sz="4" w:space="0" w:color="auto"/>
            </w:tcBorders>
            <w:vAlign w:val="center"/>
          </w:tcPr>
          <w:p w14:paraId="374FA747" w14:textId="77777777" w:rsidR="00076C4A" w:rsidRPr="00FB2906" w:rsidRDefault="00076C4A" w:rsidP="00E435E4">
            <w:pPr>
              <w:spacing w:line="276" w:lineRule="auto"/>
              <w:ind w:right="91"/>
              <w:jc w:val="right"/>
            </w:pPr>
            <w:r w:rsidRPr="00FB2906">
              <w:rPr>
                <w:b/>
              </w:rPr>
              <w:t>2,070,003</w:t>
            </w:r>
          </w:p>
        </w:tc>
      </w:tr>
      <w:tr w:rsidR="00076C4A" w:rsidRPr="00FB2906" w14:paraId="6159E8B8" w14:textId="77777777" w:rsidTr="00E435E4">
        <w:trPr>
          <w:trHeight w:val="397"/>
        </w:trPr>
        <w:tc>
          <w:tcPr>
            <w:tcW w:w="4656" w:type="dxa"/>
            <w:vAlign w:val="center"/>
          </w:tcPr>
          <w:p w14:paraId="40398CC1" w14:textId="77777777" w:rsidR="00076C4A" w:rsidRPr="00FB2906" w:rsidRDefault="00076C4A" w:rsidP="00E435E4">
            <w:pPr>
              <w:spacing w:line="276" w:lineRule="auto"/>
              <w:ind w:right="91"/>
            </w:pPr>
          </w:p>
        </w:tc>
        <w:tc>
          <w:tcPr>
            <w:tcW w:w="868" w:type="dxa"/>
            <w:vAlign w:val="center"/>
          </w:tcPr>
          <w:p w14:paraId="7AD99776" w14:textId="77777777" w:rsidR="00076C4A" w:rsidRPr="00FB2906" w:rsidRDefault="00076C4A" w:rsidP="00E435E4">
            <w:pPr>
              <w:spacing w:line="276" w:lineRule="auto"/>
              <w:ind w:right="91"/>
              <w:jc w:val="right"/>
            </w:pPr>
          </w:p>
        </w:tc>
        <w:tc>
          <w:tcPr>
            <w:tcW w:w="1915" w:type="dxa"/>
            <w:vAlign w:val="center"/>
          </w:tcPr>
          <w:p w14:paraId="0894716C" w14:textId="77777777" w:rsidR="00076C4A" w:rsidRPr="00FB2906" w:rsidRDefault="00076C4A" w:rsidP="00E435E4">
            <w:pPr>
              <w:spacing w:line="276" w:lineRule="auto"/>
              <w:ind w:right="91"/>
              <w:jc w:val="right"/>
            </w:pPr>
          </w:p>
        </w:tc>
        <w:tc>
          <w:tcPr>
            <w:tcW w:w="1915" w:type="dxa"/>
            <w:vAlign w:val="center"/>
          </w:tcPr>
          <w:p w14:paraId="41CFF0E9" w14:textId="77777777" w:rsidR="00076C4A" w:rsidRPr="00FB2906" w:rsidRDefault="00076C4A" w:rsidP="00E435E4">
            <w:pPr>
              <w:spacing w:line="276" w:lineRule="auto"/>
              <w:ind w:right="91"/>
              <w:jc w:val="right"/>
            </w:pPr>
          </w:p>
        </w:tc>
      </w:tr>
      <w:tr w:rsidR="00076C4A" w:rsidRPr="00FB2906" w14:paraId="4EBF537D" w14:textId="77777777" w:rsidTr="00E435E4">
        <w:trPr>
          <w:trHeight w:val="397"/>
        </w:trPr>
        <w:tc>
          <w:tcPr>
            <w:tcW w:w="4656" w:type="dxa"/>
            <w:vAlign w:val="center"/>
          </w:tcPr>
          <w:p w14:paraId="5141BF06" w14:textId="77777777" w:rsidR="00076C4A" w:rsidRPr="00FB2906" w:rsidRDefault="00076C4A" w:rsidP="00E435E4">
            <w:pPr>
              <w:spacing w:line="276" w:lineRule="auto"/>
              <w:ind w:right="91"/>
            </w:pPr>
            <w:r w:rsidRPr="00FB2906">
              <w:t>Employee benefits expense</w:t>
            </w:r>
          </w:p>
        </w:tc>
        <w:tc>
          <w:tcPr>
            <w:tcW w:w="868" w:type="dxa"/>
            <w:vAlign w:val="center"/>
          </w:tcPr>
          <w:p w14:paraId="624A1D66" w14:textId="77777777" w:rsidR="00076C4A" w:rsidRPr="00FB2906" w:rsidRDefault="00076C4A" w:rsidP="00E435E4">
            <w:pPr>
              <w:spacing w:line="276" w:lineRule="auto"/>
              <w:ind w:right="91"/>
              <w:jc w:val="right"/>
            </w:pPr>
          </w:p>
        </w:tc>
        <w:tc>
          <w:tcPr>
            <w:tcW w:w="1915" w:type="dxa"/>
            <w:vAlign w:val="center"/>
          </w:tcPr>
          <w:p w14:paraId="5056B230" w14:textId="77777777" w:rsidR="00076C4A" w:rsidRPr="00FB2906" w:rsidRDefault="00076C4A" w:rsidP="00E435E4">
            <w:pPr>
              <w:spacing w:line="276" w:lineRule="auto"/>
              <w:ind w:right="91"/>
              <w:jc w:val="right"/>
            </w:pPr>
            <w:r w:rsidRPr="00FB2906">
              <w:t>1,674,082</w:t>
            </w:r>
          </w:p>
        </w:tc>
        <w:tc>
          <w:tcPr>
            <w:tcW w:w="1915" w:type="dxa"/>
            <w:vAlign w:val="center"/>
          </w:tcPr>
          <w:p w14:paraId="28FEB700" w14:textId="77777777" w:rsidR="00076C4A" w:rsidRPr="00FB2906" w:rsidRDefault="00076C4A" w:rsidP="00E435E4">
            <w:pPr>
              <w:spacing w:line="276" w:lineRule="auto"/>
              <w:ind w:right="91"/>
              <w:jc w:val="right"/>
            </w:pPr>
            <w:r w:rsidRPr="00FB2906">
              <w:fldChar w:fldCharType="begin"/>
            </w:r>
            <w:r w:rsidRPr="00FB2906">
              <w:instrText xml:space="preserve"> =1567132 \# "#,##0" </w:instrText>
            </w:r>
            <w:r w:rsidRPr="00FB2906">
              <w:fldChar w:fldCharType="separate"/>
            </w:r>
            <w:r w:rsidRPr="00FB2906">
              <w:rPr>
                <w:noProof/>
              </w:rPr>
              <w:t>1,567,132</w:t>
            </w:r>
            <w:r w:rsidRPr="00FB2906">
              <w:fldChar w:fldCharType="end"/>
            </w:r>
          </w:p>
        </w:tc>
      </w:tr>
      <w:tr w:rsidR="00076C4A" w:rsidRPr="00FB2906" w14:paraId="70BCAFBB" w14:textId="77777777" w:rsidTr="00E435E4">
        <w:trPr>
          <w:trHeight w:val="397"/>
        </w:trPr>
        <w:tc>
          <w:tcPr>
            <w:tcW w:w="4656" w:type="dxa"/>
            <w:vAlign w:val="center"/>
          </w:tcPr>
          <w:p w14:paraId="1CF2D01C" w14:textId="77777777" w:rsidR="00076C4A" w:rsidRPr="00FB2906" w:rsidRDefault="00076C4A" w:rsidP="00E435E4">
            <w:pPr>
              <w:spacing w:line="276" w:lineRule="auto"/>
              <w:ind w:right="91"/>
              <w:rPr>
                <w:b/>
              </w:rPr>
            </w:pPr>
            <w:r w:rsidRPr="00FB2906">
              <w:t>Depreciation and amortisation expense</w:t>
            </w:r>
          </w:p>
        </w:tc>
        <w:tc>
          <w:tcPr>
            <w:tcW w:w="868" w:type="dxa"/>
            <w:vAlign w:val="center"/>
          </w:tcPr>
          <w:p w14:paraId="2A2672A7" w14:textId="77777777" w:rsidR="00076C4A" w:rsidRPr="00FB2906" w:rsidRDefault="00076C4A" w:rsidP="00E435E4">
            <w:pPr>
              <w:spacing w:line="276" w:lineRule="auto"/>
              <w:ind w:right="91"/>
              <w:jc w:val="right"/>
            </w:pPr>
          </w:p>
        </w:tc>
        <w:tc>
          <w:tcPr>
            <w:tcW w:w="1915" w:type="dxa"/>
            <w:vAlign w:val="center"/>
          </w:tcPr>
          <w:p w14:paraId="20093827" w14:textId="77777777" w:rsidR="00076C4A" w:rsidRPr="00FB2906" w:rsidRDefault="00076C4A" w:rsidP="00E435E4">
            <w:pPr>
              <w:spacing w:line="276" w:lineRule="auto"/>
              <w:ind w:right="91"/>
              <w:jc w:val="right"/>
              <w:rPr>
                <w:b/>
              </w:rPr>
            </w:pPr>
            <w:r w:rsidRPr="00FB2906">
              <w:fldChar w:fldCharType="begin"/>
            </w:r>
            <w:r w:rsidRPr="00FB2906">
              <w:instrText xml:space="preserve"> 56057 \# "#,##0" </w:instrText>
            </w:r>
            <w:r w:rsidRPr="00FB2906">
              <w:fldChar w:fldCharType="end"/>
            </w:r>
            <w:r w:rsidRPr="00FB2906">
              <w:t>149,195</w:t>
            </w:r>
          </w:p>
        </w:tc>
        <w:tc>
          <w:tcPr>
            <w:tcW w:w="1915" w:type="dxa"/>
            <w:vAlign w:val="center"/>
          </w:tcPr>
          <w:p w14:paraId="1CBBEE96" w14:textId="77777777" w:rsidR="00076C4A" w:rsidRPr="00FB2906" w:rsidRDefault="00076C4A" w:rsidP="00E435E4">
            <w:pPr>
              <w:spacing w:line="276" w:lineRule="auto"/>
              <w:ind w:right="91"/>
              <w:jc w:val="right"/>
              <w:rPr>
                <w:b/>
              </w:rPr>
            </w:pPr>
            <w:r w:rsidRPr="00FB2906">
              <w:fldChar w:fldCharType="begin"/>
            </w:r>
            <w:r w:rsidRPr="00FB2906">
              <w:instrText xml:space="preserve"> 56057 \# "#,##0" </w:instrText>
            </w:r>
            <w:r w:rsidRPr="00FB2906">
              <w:fldChar w:fldCharType="end"/>
            </w:r>
            <w:r w:rsidRPr="00FB2906">
              <w:fldChar w:fldCharType="begin"/>
            </w:r>
            <w:r w:rsidRPr="00FB2906">
              <w:instrText xml:space="preserve"> =56057 \# "#,##0" </w:instrText>
            </w:r>
            <w:r w:rsidRPr="00FB2906">
              <w:fldChar w:fldCharType="separate"/>
            </w:r>
            <w:r w:rsidRPr="00FB2906">
              <w:rPr>
                <w:noProof/>
              </w:rPr>
              <w:t>56,057</w:t>
            </w:r>
            <w:r w:rsidRPr="00FB2906">
              <w:fldChar w:fldCharType="end"/>
            </w:r>
          </w:p>
        </w:tc>
      </w:tr>
      <w:tr w:rsidR="00076C4A" w:rsidRPr="00FB2906" w14:paraId="1902F9DB" w14:textId="77777777" w:rsidTr="00E435E4">
        <w:trPr>
          <w:trHeight w:val="397"/>
        </w:trPr>
        <w:tc>
          <w:tcPr>
            <w:tcW w:w="4656" w:type="dxa"/>
            <w:vAlign w:val="center"/>
          </w:tcPr>
          <w:p w14:paraId="11AE7E77" w14:textId="77777777" w:rsidR="00076C4A" w:rsidRPr="00FB2906" w:rsidRDefault="00076C4A" w:rsidP="00E435E4">
            <w:pPr>
              <w:spacing w:line="276" w:lineRule="auto"/>
              <w:ind w:right="91"/>
              <w:rPr>
                <w:b/>
              </w:rPr>
            </w:pPr>
            <w:r w:rsidRPr="00FB2906">
              <w:t>Occupancy costs</w:t>
            </w:r>
          </w:p>
        </w:tc>
        <w:tc>
          <w:tcPr>
            <w:tcW w:w="868" w:type="dxa"/>
            <w:vAlign w:val="center"/>
          </w:tcPr>
          <w:p w14:paraId="6E365380" w14:textId="77777777" w:rsidR="00076C4A" w:rsidRPr="00FB2906" w:rsidRDefault="00076C4A" w:rsidP="00E435E4">
            <w:pPr>
              <w:spacing w:line="276" w:lineRule="auto"/>
              <w:ind w:right="91"/>
              <w:jc w:val="right"/>
            </w:pPr>
          </w:p>
        </w:tc>
        <w:tc>
          <w:tcPr>
            <w:tcW w:w="1915" w:type="dxa"/>
            <w:vAlign w:val="center"/>
          </w:tcPr>
          <w:p w14:paraId="352E3F26" w14:textId="77777777" w:rsidR="00076C4A" w:rsidRPr="00FB2906" w:rsidRDefault="00076C4A" w:rsidP="00E435E4">
            <w:pPr>
              <w:spacing w:line="276" w:lineRule="auto"/>
              <w:ind w:right="91"/>
              <w:jc w:val="right"/>
            </w:pPr>
            <w:r w:rsidRPr="00FB2906">
              <w:t>48,685</w:t>
            </w:r>
          </w:p>
        </w:tc>
        <w:tc>
          <w:tcPr>
            <w:tcW w:w="1915" w:type="dxa"/>
            <w:vAlign w:val="center"/>
          </w:tcPr>
          <w:p w14:paraId="4A397324" w14:textId="77777777" w:rsidR="00076C4A" w:rsidRPr="00FB2906" w:rsidRDefault="00076C4A" w:rsidP="00E435E4">
            <w:pPr>
              <w:spacing w:line="276" w:lineRule="auto"/>
              <w:ind w:right="91"/>
              <w:jc w:val="right"/>
            </w:pPr>
            <w:r w:rsidRPr="00FB2906">
              <w:fldChar w:fldCharType="begin"/>
            </w:r>
            <w:r w:rsidRPr="00FB2906">
              <w:instrText xml:space="preserve"> =136802 \# "#,##0" </w:instrText>
            </w:r>
            <w:r w:rsidRPr="00FB2906">
              <w:fldChar w:fldCharType="separate"/>
            </w:r>
            <w:r w:rsidRPr="00FB2906">
              <w:rPr>
                <w:noProof/>
              </w:rPr>
              <w:t>136,802</w:t>
            </w:r>
            <w:r w:rsidRPr="00FB2906">
              <w:fldChar w:fldCharType="end"/>
            </w:r>
          </w:p>
        </w:tc>
      </w:tr>
      <w:tr w:rsidR="00076C4A" w:rsidRPr="00FB2906" w14:paraId="65EAEFA0" w14:textId="77777777" w:rsidTr="00E435E4">
        <w:trPr>
          <w:trHeight w:val="397"/>
        </w:trPr>
        <w:tc>
          <w:tcPr>
            <w:tcW w:w="4656" w:type="dxa"/>
            <w:vAlign w:val="center"/>
          </w:tcPr>
          <w:p w14:paraId="22380EDE" w14:textId="77777777" w:rsidR="00076C4A" w:rsidRPr="00FB2906" w:rsidRDefault="00076C4A" w:rsidP="00E435E4">
            <w:pPr>
              <w:spacing w:line="276" w:lineRule="auto"/>
              <w:ind w:right="91"/>
            </w:pPr>
            <w:r w:rsidRPr="00FB2906">
              <w:t>Telephone and IT expenses</w:t>
            </w:r>
          </w:p>
        </w:tc>
        <w:tc>
          <w:tcPr>
            <w:tcW w:w="868" w:type="dxa"/>
            <w:vAlign w:val="center"/>
          </w:tcPr>
          <w:p w14:paraId="5B9F18FD" w14:textId="77777777" w:rsidR="00076C4A" w:rsidRPr="00FB2906" w:rsidRDefault="00076C4A" w:rsidP="00E435E4">
            <w:pPr>
              <w:spacing w:line="276" w:lineRule="auto"/>
              <w:ind w:right="91"/>
              <w:jc w:val="right"/>
            </w:pPr>
          </w:p>
        </w:tc>
        <w:tc>
          <w:tcPr>
            <w:tcW w:w="1915" w:type="dxa"/>
            <w:vAlign w:val="center"/>
          </w:tcPr>
          <w:p w14:paraId="018E808C" w14:textId="77777777" w:rsidR="00076C4A" w:rsidRPr="00FB2906" w:rsidRDefault="00076C4A" w:rsidP="00E435E4">
            <w:pPr>
              <w:spacing w:line="276" w:lineRule="auto"/>
              <w:ind w:right="91"/>
              <w:jc w:val="right"/>
            </w:pPr>
            <w:r w:rsidRPr="00FB2906">
              <w:t>141,270</w:t>
            </w:r>
          </w:p>
        </w:tc>
        <w:tc>
          <w:tcPr>
            <w:tcW w:w="1915" w:type="dxa"/>
            <w:vAlign w:val="center"/>
          </w:tcPr>
          <w:p w14:paraId="52E63E25" w14:textId="77777777" w:rsidR="00076C4A" w:rsidRPr="00FB2906" w:rsidRDefault="00076C4A" w:rsidP="00E435E4">
            <w:pPr>
              <w:spacing w:line="276" w:lineRule="auto"/>
              <w:ind w:right="91"/>
              <w:jc w:val="right"/>
            </w:pPr>
            <w:r w:rsidRPr="00FB2906">
              <w:fldChar w:fldCharType="begin"/>
            </w:r>
            <w:r w:rsidRPr="00FB2906">
              <w:instrText xml:space="preserve"> =138901 \# "#,##0" </w:instrText>
            </w:r>
            <w:r w:rsidRPr="00FB2906">
              <w:fldChar w:fldCharType="separate"/>
            </w:r>
            <w:r w:rsidRPr="00FB2906">
              <w:rPr>
                <w:noProof/>
              </w:rPr>
              <w:t>138,901</w:t>
            </w:r>
            <w:r w:rsidRPr="00FB2906">
              <w:fldChar w:fldCharType="end"/>
            </w:r>
          </w:p>
        </w:tc>
      </w:tr>
      <w:tr w:rsidR="00076C4A" w:rsidRPr="00FB2906" w14:paraId="4E9452E7" w14:textId="77777777" w:rsidTr="00E435E4">
        <w:trPr>
          <w:trHeight w:val="397"/>
        </w:trPr>
        <w:tc>
          <w:tcPr>
            <w:tcW w:w="4656" w:type="dxa"/>
            <w:tcBorders>
              <w:top w:val="nil"/>
              <w:left w:val="nil"/>
              <w:bottom w:val="nil"/>
              <w:right w:val="nil"/>
            </w:tcBorders>
            <w:vAlign w:val="center"/>
          </w:tcPr>
          <w:p w14:paraId="00F7BECC" w14:textId="77777777" w:rsidR="00076C4A" w:rsidRPr="00FB2906" w:rsidRDefault="00076C4A" w:rsidP="00E435E4">
            <w:pPr>
              <w:spacing w:line="276" w:lineRule="auto"/>
              <w:ind w:right="91"/>
            </w:pPr>
            <w:r w:rsidRPr="00FB2906">
              <w:t>Consultancy expenses</w:t>
            </w:r>
          </w:p>
        </w:tc>
        <w:tc>
          <w:tcPr>
            <w:tcW w:w="868" w:type="dxa"/>
            <w:tcBorders>
              <w:top w:val="nil"/>
              <w:left w:val="nil"/>
              <w:bottom w:val="nil"/>
              <w:right w:val="nil"/>
            </w:tcBorders>
            <w:vAlign w:val="center"/>
          </w:tcPr>
          <w:p w14:paraId="3B5F3A47" w14:textId="77777777" w:rsidR="00076C4A" w:rsidRPr="00FB2906" w:rsidRDefault="00076C4A" w:rsidP="00E435E4">
            <w:pPr>
              <w:spacing w:line="276" w:lineRule="auto"/>
              <w:ind w:right="91"/>
              <w:jc w:val="right"/>
            </w:pPr>
          </w:p>
        </w:tc>
        <w:tc>
          <w:tcPr>
            <w:tcW w:w="1915" w:type="dxa"/>
            <w:tcBorders>
              <w:top w:val="nil"/>
              <w:left w:val="nil"/>
              <w:bottom w:val="nil"/>
              <w:right w:val="nil"/>
            </w:tcBorders>
            <w:vAlign w:val="center"/>
          </w:tcPr>
          <w:p w14:paraId="4F4B890A" w14:textId="77777777" w:rsidR="00076C4A" w:rsidRPr="00FB2906" w:rsidRDefault="00076C4A" w:rsidP="00E435E4">
            <w:pPr>
              <w:spacing w:line="276" w:lineRule="auto"/>
              <w:ind w:right="91"/>
              <w:jc w:val="right"/>
            </w:pPr>
            <w:r w:rsidRPr="00FB2906">
              <w:t>41,739</w:t>
            </w:r>
          </w:p>
        </w:tc>
        <w:tc>
          <w:tcPr>
            <w:tcW w:w="1915" w:type="dxa"/>
            <w:tcBorders>
              <w:top w:val="nil"/>
              <w:left w:val="nil"/>
              <w:bottom w:val="nil"/>
              <w:right w:val="nil"/>
            </w:tcBorders>
            <w:vAlign w:val="center"/>
          </w:tcPr>
          <w:p w14:paraId="1FD5225F" w14:textId="77777777" w:rsidR="00076C4A" w:rsidRPr="00FB2906" w:rsidRDefault="00076C4A" w:rsidP="00E435E4">
            <w:pPr>
              <w:spacing w:line="276" w:lineRule="auto"/>
              <w:ind w:right="91"/>
              <w:jc w:val="right"/>
            </w:pPr>
            <w:r w:rsidRPr="00FB2906">
              <w:fldChar w:fldCharType="begin"/>
            </w:r>
            <w:r w:rsidRPr="00FB2906">
              <w:instrText xml:space="preserve"> =60582 \# "#,##0" </w:instrText>
            </w:r>
            <w:r w:rsidRPr="00FB2906">
              <w:fldChar w:fldCharType="separate"/>
            </w:r>
            <w:r w:rsidRPr="00FB2906">
              <w:rPr>
                <w:noProof/>
              </w:rPr>
              <w:t>60,582</w:t>
            </w:r>
            <w:r w:rsidRPr="00FB2906">
              <w:fldChar w:fldCharType="end"/>
            </w:r>
          </w:p>
        </w:tc>
      </w:tr>
      <w:tr w:rsidR="00076C4A" w:rsidRPr="00FB2906" w14:paraId="31795A18" w14:textId="77777777" w:rsidTr="00E435E4">
        <w:trPr>
          <w:trHeight w:val="397"/>
        </w:trPr>
        <w:tc>
          <w:tcPr>
            <w:tcW w:w="4656" w:type="dxa"/>
            <w:tcBorders>
              <w:top w:val="nil"/>
              <w:left w:val="nil"/>
              <w:bottom w:val="single" w:sz="2" w:space="0" w:color="auto"/>
              <w:right w:val="nil"/>
            </w:tcBorders>
            <w:vAlign w:val="center"/>
          </w:tcPr>
          <w:p w14:paraId="2B3D5132" w14:textId="77777777" w:rsidR="00076C4A" w:rsidRPr="00FB2906" w:rsidRDefault="00076C4A" w:rsidP="00E435E4">
            <w:pPr>
              <w:spacing w:line="276" w:lineRule="auto"/>
              <w:ind w:right="91"/>
            </w:pPr>
            <w:r w:rsidRPr="00FB2906">
              <w:t>Other expenses from ordinary activities</w:t>
            </w:r>
          </w:p>
        </w:tc>
        <w:tc>
          <w:tcPr>
            <w:tcW w:w="868" w:type="dxa"/>
            <w:tcBorders>
              <w:top w:val="nil"/>
              <w:left w:val="nil"/>
              <w:bottom w:val="single" w:sz="2" w:space="0" w:color="auto"/>
              <w:right w:val="nil"/>
            </w:tcBorders>
            <w:vAlign w:val="center"/>
          </w:tcPr>
          <w:p w14:paraId="6A60A681" w14:textId="77777777" w:rsidR="00076C4A" w:rsidRPr="00FB2906" w:rsidRDefault="00076C4A" w:rsidP="00E435E4">
            <w:pPr>
              <w:spacing w:line="276" w:lineRule="auto"/>
              <w:ind w:right="91"/>
              <w:jc w:val="right"/>
            </w:pPr>
          </w:p>
        </w:tc>
        <w:tc>
          <w:tcPr>
            <w:tcW w:w="1915" w:type="dxa"/>
            <w:tcBorders>
              <w:top w:val="nil"/>
              <w:left w:val="nil"/>
              <w:bottom w:val="single" w:sz="2" w:space="0" w:color="auto"/>
              <w:right w:val="nil"/>
            </w:tcBorders>
            <w:vAlign w:val="center"/>
          </w:tcPr>
          <w:p w14:paraId="18E09DAC" w14:textId="77777777" w:rsidR="00076C4A" w:rsidRPr="00FB2906" w:rsidRDefault="00076C4A" w:rsidP="00E435E4">
            <w:pPr>
              <w:spacing w:line="276" w:lineRule="auto"/>
              <w:ind w:right="91"/>
              <w:jc w:val="right"/>
            </w:pPr>
            <w:r w:rsidRPr="00FB2906">
              <w:t>138,263</w:t>
            </w:r>
          </w:p>
        </w:tc>
        <w:tc>
          <w:tcPr>
            <w:tcW w:w="1915" w:type="dxa"/>
            <w:tcBorders>
              <w:top w:val="nil"/>
              <w:left w:val="nil"/>
              <w:bottom w:val="single" w:sz="2" w:space="0" w:color="auto"/>
              <w:right w:val="nil"/>
            </w:tcBorders>
            <w:vAlign w:val="center"/>
          </w:tcPr>
          <w:p w14:paraId="7C0D9E28" w14:textId="77777777" w:rsidR="00076C4A" w:rsidRPr="00FB2906" w:rsidRDefault="00076C4A" w:rsidP="00E435E4">
            <w:pPr>
              <w:spacing w:line="276" w:lineRule="auto"/>
              <w:ind w:right="91"/>
              <w:jc w:val="right"/>
            </w:pPr>
            <w:r w:rsidRPr="00FB2906">
              <w:fldChar w:fldCharType="begin"/>
            </w:r>
            <w:r w:rsidRPr="00FB2906">
              <w:instrText xml:space="preserve"> =124053 \# "#,##0" </w:instrText>
            </w:r>
            <w:r w:rsidRPr="00FB2906">
              <w:fldChar w:fldCharType="separate"/>
            </w:r>
            <w:r w:rsidRPr="00FB2906">
              <w:rPr>
                <w:noProof/>
              </w:rPr>
              <w:t>124,053</w:t>
            </w:r>
            <w:r w:rsidRPr="00FB2906">
              <w:fldChar w:fldCharType="end"/>
            </w:r>
          </w:p>
        </w:tc>
      </w:tr>
      <w:tr w:rsidR="00076C4A" w:rsidRPr="00FB2906" w14:paraId="626AE193" w14:textId="77777777" w:rsidTr="00E435E4">
        <w:trPr>
          <w:trHeight w:val="397"/>
        </w:trPr>
        <w:tc>
          <w:tcPr>
            <w:tcW w:w="4656" w:type="dxa"/>
            <w:tcBorders>
              <w:top w:val="single" w:sz="2" w:space="0" w:color="auto"/>
              <w:left w:val="nil"/>
              <w:right w:val="nil"/>
            </w:tcBorders>
            <w:vAlign w:val="center"/>
          </w:tcPr>
          <w:p w14:paraId="17822469" w14:textId="77777777" w:rsidR="00076C4A" w:rsidRPr="00FB2906" w:rsidRDefault="00076C4A" w:rsidP="00E435E4">
            <w:pPr>
              <w:spacing w:line="276" w:lineRule="auto"/>
              <w:ind w:right="91"/>
            </w:pPr>
            <w:r w:rsidRPr="00FB2906">
              <w:t>(Loss) /Surplus before income tax expense</w:t>
            </w:r>
          </w:p>
        </w:tc>
        <w:tc>
          <w:tcPr>
            <w:tcW w:w="868" w:type="dxa"/>
            <w:tcBorders>
              <w:top w:val="single" w:sz="2" w:space="0" w:color="auto"/>
              <w:left w:val="nil"/>
              <w:right w:val="nil"/>
            </w:tcBorders>
            <w:vAlign w:val="center"/>
          </w:tcPr>
          <w:p w14:paraId="76BB93E0" w14:textId="77777777" w:rsidR="00076C4A" w:rsidRPr="00FB2906" w:rsidRDefault="00076C4A" w:rsidP="00E435E4">
            <w:pPr>
              <w:spacing w:line="276" w:lineRule="auto"/>
              <w:ind w:right="91"/>
              <w:jc w:val="right"/>
            </w:pPr>
          </w:p>
        </w:tc>
        <w:tc>
          <w:tcPr>
            <w:tcW w:w="1915" w:type="dxa"/>
            <w:tcBorders>
              <w:top w:val="single" w:sz="2" w:space="0" w:color="auto"/>
              <w:left w:val="nil"/>
              <w:right w:val="nil"/>
            </w:tcBorders>
            <w:vAlign w:val="center"/>
          </w:tcPr>
          <w:p w14:paraId="1525005F" w14:textId="77777777" w:rsidR="00076C4A" w:rsidRPr="00FB2906" w:rsidRDefault="00076C4A" w:rsidP="00E435E4">
            <w:pPr>
              <w:spacing w:line="276" w:lineRule="auto"/>
              <w:ind w:right="91"/>
              <w:jc w:val="right"/>
            </w:pPr>
            <w:r w:rsidRPr="00FB2906">
              <w:t>126,181</w:t>
            </w:r>
          </w:p>
        </w:tc>
        <w:tc>
          <w:tcPr>
            <w:tcW w:w="1915" w:type="dxa"/>
            <w:tcBorders>
              <w:top w:val="single" w:sz="2" w:space="0" w:color="auto"/>
              <w:left w:val="nil"/>
              <w:right w:val="nil"/>
            </w:tcBorders>
            <w:vAlign w:val="center"/>
          </w:tcPr>
          <w:p w14:paraId="478C0A10" w14:textId="77777777" w:rsidR="00076C4A" w:rsidRPr="00FB2906" w:rsidRDefault="00076C4A" w:rsidP="00E435E4">
            <w:pPr>
              <w:spacing w:line="276" w:lineRule="auto"/>
              <w:ind w:right="91"/>
              <w:jc w:val="right"/>
            </w:pPr>
            <w:r w:rsidRPr="00FB2906">
              <w:fldChar w:fldCharType="begin"/>
            </w:r>
            <w:r w:rsidRPr="00FB2906">
              <w:instrText xml:space="preserve"> =c3-c5-c6-c7-c8-c9-c10 \# "#,##0;(#,##0)" </w:instrText>
            </w:r>
            <w:r w:rsidRPr="00FB2906">
              <w:fldChar w:fldCharType="separate"/>
            </w:r>
            <w:r w:rsidRPr="00FB2906">
              <w:rPr>
                <w:noProof/>
              </w:rPr>
              <w:t>(13,524)</w:t>
            </w:r>
            <w:r w:rsidRPr="00FB2906">
              <w:fldChar w:fldCharType="end"/>
            </w:r>
          </w:p>
        </w:tc>
      </w:tr>
      <w:tr w:rsidR="00076C4A" w:rsidRPr="00FB2906" w14:paraId="76213DB3" w14:textId="77777777" w:rsidTr="00E435E4">
        <w:trPr>
          <w:trHeight w:val="397"/>
        </w:trPr>
        <w:tc>
          <w:tcPr>
            <w:tcW w:w="4656" w:type="dxa"/>
            <w:tcBorders>
              <w:left w:val="nil"/>
              <w:bottom w:val="single" w:sz="2" w:space="0" w:color="auto"/>
              <w:right w:val="nil"/>
            </w:tcBorders>
            <w:vAlign w:val="center"/>
          </w:tcPr>
          <w:p w14:paraId="395CB578" w14:textId="77777777" w:rsidR="00076C4A" w:rsidRPr="00FB2906" w:rsidRDefault="00076C4A" w:rsidP="00E435E4">
            <w:pPr>
              <w:spacing w:line="276" w:lineRule="auto"/>
              <w:ind w:right="91"/>
            </w:pPr>
            <w:r w:rsidRPr="00FB2906">
              <w:t>Income tax expense</w:t>
            </w:r>
          </w:p>
        </w:tc>
        <w:tc>
          <w:tcPr>
            <w:tcW w:w="868" w:type="dxa"/>
            <w:tcBorders>
              <w:left w:val="nil"/>
              <w:bottom w:val="single" w:sz="2" w:space="0" w:color="auto"/>
              <w:right w:val="nil"/>
            </w:tcBorders>
            <w:vAlign w:val="center"/>
          </w:tcPr>
          <w:p w14:paraId="34AA9A1B" w14:textId="77777777" w:rsidR="00076C4A" w:rsidRPr="00FB2906" w:rsidRDefault="00076C4A" w:rsidP="00E435E4">
            <w:pPr>
              <w:spacing w:line="276" w:lineRule="auto"/>
              <w:ind w:right="91"/>
              <w:jc w:val="right"/>
            </w:pPr>
          </w:p>
        </w:tc>
        <w:tc>
          <w:tcPr>
            <w:tcW w:w="1915" w:type="dxa"/>
            <w:tcBorders>
              <w:left w:val="nil"/>
              <w:bottom w:val="single" w:sz="2" w:space="0" w:color="auto"/>
              <w:right w:val="nil"/>
            </w:tcBorders>
            <w:vAlign w:val="center"/>
          </w:tcPr>
          <w:p w14:paraId="0FE6CBAA" w14:textId="77777777" w:rsidR="00076C4A" w:rsidRPr="00FB2906" w:rsidRDefault="00076C4A" w:rsidP="00E435E4">
            <w:pPr>
              <w:spacing w:line="276" w:lineRule="auto"/>
              <w:ind w:right="91"/>
              <w:jc w:val="right"/>
            </w:pPr>
            <w:r w:rsidRPr="00FB2906">
              <w:t>-</w:t>
            </w:r>
          </w:p>
        </w:tc>
        <w:tc>
          <w:tcPr>
            <w:tcW w:w="1915" w:type="dxa"/>
            <w:tcBorders>
              <w:left w:val="nil"/>
              <w:bottom w:val="single" w:sz="2" w:space="0" w:color="auto"/>
              <w:right w:val="nil"/>
            </w:tcBorders>
            <w:vAlign w:val="center"/>
          </w:tcPr>
          <w:p w14:paraId="241FE1AC" w14:textId="77777777" w:rsidR="00076C4A" w:rsidRPr="00FB2906" w:rsidRDefault="00076C4A" w:rsidP="00E435E4">
            <w:pPr>
              <w:spacing w:line="276" w:lineRule="auto"/>
              <w:ind w:right="91"/>
              <w:jc w:val="right"/>
            </w:pPr>
            <w:r w:rsidRPr="00FB2906">
              <w:t>-</w:t>
            </w:r>
          </w:p>
        </w:tc>
      </w:tr>
      <w:tr w:rsidR="00076C4A" w:rsidRPr="00FB2906" w14:paraId="51E66E37" w14:textId="77777777" w:rsidTr="00E435E4">
        <w:trPr>
          <w:trHeight w:val="397"/>
        </w:trPr>
        <w:tc>
          <w:tcPr>
            <w:tcW w:w="4656" w:type="dxa"/>
            <w:tcBorders>
              <w:top w:val="single" w:sz="2" w:space="0" w:color="auto"/>
              <w:left w:val="nil"/>
              <w:bottom w:val="single" w:sz="12" w:space="0" w:color="auto"/>
              <w:right w:val="nil"/>
            </w:tcBorders>
            <w:vAlign w:val="center"/>
          </w:tcPr>
          <w:p w14:paraId="74490166" w14:textId="77777777" w:rsidR="00076C4A" w:rsidRPr="00FB2906" w:rsidRDefault="00076C4A" w:rsidP="00E435E4">
            <w:pPr>
              <w:spacing w:line="276" w:lineRule="auto"/>
              <w:ind w:right="91"/>
            </w:pPr>
            <w:r w:rsidRPr="00FB2906">
              <w:t>Total Comprehensive (Loss) / Income for the year</w:t>
            </w:r>
          </w:p>
        </w:tc>
        <w:tc>
          <w:tcPr>
            <w:tcW w:w="868" w:type="dxa"/>
            <w:tcBorders>
              <w:top w:val="single" w:sz="2" w:space="0" w:color="auto"/>
              <w:left w:val="nil"/>
              <w:bottom w:val="single" w:sz="12" w:space="0" w:color="auto"/>
              <w:right w:val="nil"/>
            </w:tcBorders>
            <w:vAlign w:val="center"/>
          </w:tcPr>
          <w:p w14:paraId="2FC78C2F" w14:textId="77777777" w:rsidR="00076C4A" w:rsidRPr="00FB2906" w:rsidRDefault="00076C4A" w:rsidP="00E435E4">
            <w:pPr>
              <w:spacing w:line="276" w:lineRule="auto"/>
              <w:ind w:right="91"/>
              <w:jc w:val="right"/>
            </w:pPr>
          </w:p>
        </w:tc>
        <w:tc>
          <w:tcPr>
            <w:tcW w:w="1915" w:type="dxa"/>
            <w:tcBorders>
              <w:top w:val="single" w:sz="2" w:space="0" w:color="auto"/>
              <w:left w:val="nil"/>
              <w:bottom w:val="single" w:sz="12" w:space="0" w:color="auto"/>
              <w:right w:val="nil"/>
            </w:tcBorders>
            <w:vAlign w:val="center"/>
          </w:tcPr>
          <w:p w14:paraId="1559B0BB" w14:textId="77777777" w:rsidR="00076C4A" w:rsidRPr="00FB2906" w:rsidRDefault="00076C4A" w:rsidP="00E435E4">
            <w:pPr>
              <w:spacing w:line="276" w:lineRule="auto"/>
              <w:ind w:right="91"/>
              <w:jc w:val="right"/>
            </w:pPr>
            <w:r w:rsidRPr="00FB2906">
              <w:t>126,181</w:t>
            </w:r>
          </w:p>
        </w:tc>
        <w:tc>
          <w:tcPr>
            <w:tcW w:w="1915" w:type="dxa"/>
            <w:tcBorders>
              <w:top w:val="single" w:sz="2" w:space="0" w:color="auto"/>
              <w:left w:val="nil"/>
              <w:bottom w:val="single" w:sz="12" w:space="0" w:color="auto"/>
              <w:right w:val="nil"/>
            </w:tcBorders>
            <w:vAlign w:val="center"/>
          </w:tcPr>
          <w:p w14:paraId="2CDDBE9E" w14:textId="77777777" w:rsidR="00076C4A" w:rsidRPr="00FB2906" w:rsidRDefault="00076C4A" w:rsidP="00E435E4">
            <w:pPr>
              <w:spacing w:line="276" w:lineRule="auto"/>
              <w:ind w:right="91"/>
              <w:jc w:val="right"/>
            </w:pPr>
            <w:r w:rsidRPr="00FB2906">
              <w:fldChar w:fldCharType="begin"/>
            </w:r>
            <w:r w:rsidRPr="00FB2906">
              <w:instrText xml:space="preserve"> =c3-c5-c6-c7-c8-c9-c10 \# "#,##0;(#,##0)" </w:instrText>
            </w:r>
            <w:r w:rsidRPr="00FB2906">
              <w:fldChar w:fldCharType="separate"/>
            </w:r>
            <w:r w:rsidRPr="00FB2906">
              <w:rPr>
                <w:noProof/>
              </w:rPr>
              <w:t>(13,524)</w:t>
            </w:r>
            <w:r w:rsidRPr="00FB2906">
              <w:fldChar w:fldCharType="end"/>
            </w:r>
          </w:p>
        </w:tc>
      </w:tr>
    </w:tbl>
    <w:p w14:paraId="101F2460" w14:textId="77777777" w:rsidR="00076C4A" w:rsidRDefault="00076C4A" w:rsidP="00076C4A">
      <w:pPr>
        <w:spacing w:after="200" w:line="276" w:lineRule="auto"/>
        <w:rPr>
          <w:b/>
          <w:sz w:val="28"/>
          <w:szCs w:val="28"/>
        </w:rPr>
      </w:pPr>
      <w:r>
        <w:rPr>
          <w:szCs w:val="28"/>
        </w:rPr>
        <w:br w:type="page"/>
      </w:r>
    </w:p>
    <w:p w14:paraId="15C33C09" w14:textId="77777777" w:rsidR="00076C4A" w:rsidRPr="00FB2906" w:rsidRDefault="00076C4A" w:rsidP="00076C4A">
      <w:pPr>
        <w:pStyle w:val="Heading1"/>
        <w:spacing w:line="276" w:lineRule="auto"/>
      </w:pPr>
      <w:r w:rsidRPr="00FB2906">
        <w:lastRenderedPageBreak/>
        <w:t>Balance sheet</w:t>
      </w:r>
    </w:p>
    <w:p w14:paraId="7DE2F1D8" w14:textId="77777777" w:rsidR="00076C4A" w:rsidRPr="00FB2906" w:rsidRDefault="00076C4A" w:rsidP="00076C4A">
      <w:pPr>
        <w:pStyle w:val="BodyText"/>
        <w:spacing w:line="276" w:lineRule="auto"/>
        <w:rPr>
          <w:b/>
          <w:bCs/>
          <w:color w:val="595959" w:themeColor="text1" w:themeTint="A6"/>
          <w:szCs w:val="22"/>
        </w:rPr>
      </w:pPr>
      <w:r w:rsidRPr="00FB2906">
        <w:rPr>
          <w:b/>
          <w:bCs/>
          <w:color w:val="595959" w:themeColor="text1" w:themeTint="A6"/>
          <w:szCs w:val="22"/>
        </w:rPr>
        <w:t>As at 30 June 2020</w:t>
      </w:r>
    </w:p>
    <w:tbl>
      <w:tblPr>
        <w:tblStyle w:val="TableGrid"/>
        <w:tblW w:w="88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831"/>
        <w:gridCol w:w="1757"/>
        <w:gridCol w:w="1757"/>
      </w:tblGrid>
      <w:tr w:rsidR="00076C4A" w:rsidRPr="00FB2906" w14:paraId="117ABFC4" w14:textId="77777777" w:rsidTr="00E435E4">
        <w:trPr>
          <w:trHeight w:val="340"/>
        </w:trPr>
        <w:tc>
          <w:tcPr>
            <w:tcW w:w="4535" w:type="dxa"/>
          </w:tcPr>
          <w:p w14:paraId="0664DDBD" w14:textId="77777777" w:rsidR="00076C4A" w:rsidRPr="00FB2906" w:rsidRDefault="00076C4A" w:rsidP="00E435E4">
            <w:pPr>
              <w:spacing w:line="276" w:lineRule="auto"/>
              <w:ind w:right="91"/>
            </w:pPr>
          </w:p>
        </w:tc>
        <w:tc>
          <w:tcPr>
            <w:tcW w:w="831" w:type="dxa"/>
            <w:vAlign w:val="center"/>
          </w:tcPr>
          <w:p w14:paraId="669B4F49" w14:textId="77777777" w:rsidR="00076C4A" w:rsidRPr="00FB2906" w:rsidRDefault="00076C4A" w:rsidP="00E435E4">
            <w:pPr>
              <w:spacing w:line="276" w:lineRule="auto"/>
              <w:ind w:right="91"/>
              <w:rPr>
                <w:b/>
              </w:rPr>
            </w:pPr>
          </w:p>
        </w:tc>
        <w:tc>
          <w:tcPr>
            <w:tcW w:w="1757" w:type="dxa"/>
            <w:vAlign w:val="center"/>
          </w:tcPr>
          <w:p w14:paraId="6F3D8320" w14:textId="77777777" w:rsidR="00076C4A" w:rsidRPr="00FB2906" w:rsidRDefault="00076C4A" w:rsidP="00E435E4">
            <w:pPr>
              <w:tabs>
                <w:tab w:val="left" w:pos="583"/>
              </w:tabs>
              <w:spacing w:line="276" w:lineRule="auto"/>
              <w:ind w:right="91"/>
              <w:jc w:val="right"/>
              <w:rPr>
                <w:b/>
              </w:rPr>
            </w:pPr>
            <w:r w:rsidRPr="00FB2906">
              <w:rPr>
                <w:b/>
              </w:rPr>
              <w:t>2020</w:t>
            </w:r>
          </w:p>
        </w:tc>
        <w:tc>
          <w:tcPr>
            <w:tcW w:w="1757" w:type="dxa"/>
            <w:vAlign w:val="center"/>
          </w:tcPr>
          <w:p w14:paraId="25DC5A23" w14:textId="77777777" w:rsidR="00076C4A" w:rsidRPr="00FB2906" w:rsidRDefault="00076C4A" w:rsidP="00E435E4">
            <w:pPr>
              <w:spacing w:line="276" w:lineRule="auto"/>
              <w:ind w:right="91"/>
              <w:jc w:val="right"/>
              <w:rPr>
                <w:b/>
              </w:rPr>
            </w:pPr>
            <w:r w:rsidRPr="00FB2906">
              <w:rPr>
                <w:b/>
              </w:rPr>
              <w:t>2019</w:t>
            </w:r>
          </w:p>
        </w:tc>
      </w:tr>
      <w:tr w:rsidR="00076C4A" w:rsidRPr="00FB2906" w14:paraId="39C81FF0" w14:textId="77777777" w:rsidTr="00E435E4">
        <w:trPr>
          <w:trHeight w:val="340"/>
        </w:trPr>
        <w:tc>
          <w:tcPr>
            <w:tcW w:w="4535" w:type="dxa"/>
            <w:tcBorders>
              <w:bottom w:val="single" w:sz="4" w:space="0" w:color="auto"/>
            </w:tcBorders>
          </w:tcPr>
          <w:p w14:paraId="2D1B8DE2" w14:textId="77777777" w:rsidR="00076C4A" w:rsidRPr="00FB2906" w:rsidRDefault="00076C4A" w:rsidP="00E435E4">
            <w:pPr>
              <w:spacing w:line="276" w:lineRule="auto"/>
              <w:ind w:right="91"/>
            </w:pPr>
          </w:p>
        </w:tc>
        <w:tc>
          <w:tcPr>
            <w:tcW w:w="831" w:type="dxa"/>
            <w:tcBorders>
              <w:bottom w:val="single" w:sz="4" w:space="0" w:color="auto"/>
            </w:tcBorders>
          </w:tcPr>
          <w:p w14:paraId="151EDC1D" w14:textId="77777777" w:rsidR="00076C4A" w:rsidRPr="00FB2906" w:rsidRDefault="00076C4A" w:rsidP="00E435E4">
            <w:pPr>
              <w:spacing w:line="276" w:lineRule="auto"/>
              <w:ind w:right="91"/>
              <w:rPr>
                <w:b/>
              </w:rPr>
            </w:pPr>
          </w:p>
        </w:tc>
        <w:tc>
          <w:tcPr>
            <w:tcW w:w="1757" w:type="dxa"/>
            <w:tcBorders>
              <w:bottom w:val="single" w:sz="4" w:space="0" w:color="auto"/>
            </w:tcBorders>
            <w:vAlign w:val="center"/>
          </w:tcPr>
          <w:p w14:paraId="5BEF032D" w14:textId="77777777" w:rsidR="00076C4A" w:rsidRPr="00FB2906" w:rsidRDefault="00076C4A" w:rsidP="00E435E4">
            <w:pPr>
              <w:spacing w:line="276" w:lineRule="auto"/>
              <w:ind w:right="91"/>
              <w:jc w:val="right"/>
              <w:rPr>
                <w:b/>
              </w:rPr>
            </w:pPr>
            <w:r w:rsidRPr="00FB2906">
              <w:rPr>
                <w:b/>
              </w:rPr>
              <w:t>$</w:t>
            </w:r>
          </w:p>
        </w:tc>
        <w:tc>
          <w:tcPr>
            <w:tcW w:w="1757" w:type="dxa"/>
            <w:tcBorders>
              <w:bottom w:val="single" w:sz="4" w:space="0" w:color="auto"/>
            </w:tcBorders>
            <w:vAlign w:val="center"/>
          </w:tcPr>
          <w:p w14:paraId="7B59A97D" w14:textId="77777777" w:rsidR="00076C4A" w:rsidRPr="00FB2906" w:rsidRDefault="00076C4A" w:rsidP="00E435E4">
            <w:pPr>
              <w:spacing w:line="276" w:lineRule="auto"/>
              <w:ind w:right="91"/>
              <w:jc w:val="right"/>
              <w:rPr>
                <w:b/>
              </w:rPr>
            </w:pPr>
            <w:r w:rsidRPr="00FB2906">
              <w:rPr>
                <w:b/>
              </w:rPr>
              <w:t>$</w:t>
            </w:r>
          </w:p>
        </w:tc>
      </w:tr>
      <w:tr w:rsidR="00076C4A" w:rsidRPr="00FB2906" w14:paraId="5CF7A6CD" w14:textId="77777777" w:rsidTr="00E435E4">
        <w:trPr>
          <w:trHeight w:val="340"/>
        </w:trPr>
        <w:tc>
          <w:tcPr>
            <w:tcW w:w="4535" w:type="dxa"/>
            <w:tcBorders>
              <w:top w:val="single" w:sz="4" w:space="0" w:color="auto"/>
            </w:tcBorders>
            <w:vAlign w:val="center"/>
          </w:tcPr>
          <w:p w14:paraId="4D7E1A05" w14:textId="77777777" w:rsidR="00076C4A" w:rsidRPr="00FB2906" w:rsidRDefault="00076C4A" w:rsidP="00E435E4">
            <w:pPr>
              <w:spacing w:line="276" w:lineRule="auto"/>
              <w:ind w:right="91"/>
              <w:rPr>
                <w:b/>
              </w:rPr>
            </w:pPr>
            <w:r w:rsidRPr="00FB2906">
              <w:rPr>
                <w:b/>
              </w:rPr>
              <w:t>Current Assets</w:t>
            </w:r>
          </w:p>
        </w:tc>
        <w:tc>
          <w:tcPr>
            <w:tcW w:w="831" w:type="dxa"/>
            <w:tcBorders>
              <w:top w:val="single" w:sz="4" w:space="0" w:color="auto"/>
            </w:tcBorders>
            <w:vAlign w:val="center"/>
          </w:tcPr>
          <w:p w14:paraId="79B917DE" w14:textId="77777777" w:rsidR="00076C4A" w:rsidRPr="00FB2906" w:rsidRDefault="00076C4A" w:rsidP="00E435E4">
            <w:pPr>
              <w:spacing w:line="276" w:lineRule="auto"/>
              <w:ind w:right="91"/>
            </w:pPr>
          </w:p>
        </w:tc>
        <w:tc>
          <w:tcPr>
            <w:tcW w:w="1757" w:type="dxa"/>
            <w:tcBorders>
              <w:top w:val="single" w:sz="4" w:space="0" w:color="auto"/>
            </w:tcBorders>
            <w:vAlign w:val="center"/>
          </w:tcPr>
          <w:p w14:paraId="4CD5889F" w14:textId="77777777" w:rsidR="00076C4A" w:rsidRPr="00FB2906" w:rsidRDefault="00076C4A" w:rsidP="00E435E4">
            <w:pPr>
              <w:spacing w:line="276" w:lineRule="auto"/>
              <w:ind w:right="91"/>
            </w:pPr>
          </w:p>
        </w:tc>
        <w:tc>
          <w:tcPr>
            <w:tcW w:w="1757" w:type="dxa"/>
            <w:tcBorders>
              <w:top w:val="single" w:sz="4" w:space="0" w:color="auto"/>
            </w:tcBorders>
            <w:vAlign w:val="center"/>
          </w:tcPr>
          <w:p w14:paraId="36E72809" w14:textId="77777777" w:rsidR="00076C4A" w:rsidRPr="00FB2906" w:rsidRDefault="00076C4A" w:rsidP="00E435E4">
            <w:pPr>
              <w:spacing w:line="276" w:lineRule="auto"/>
              <w:ind w:right="91"/>
            </w:pPr>
          </w:p>
        </w:tc>
      </w:tr>
      <w:tr w:rsidR="00076C4A" w:rsidRPr="00FB2906" w14:paraId="00E3EA49" w14:textId="77777777" w:rsidTr="00E435E4">
        <w:trPr>
          <w:trHeight w:val="340"/>
        </w:trPr>
        <w:tc>
          <w:tcPr>
            <w:tcW w:w="4535" w:type="dxa"/>
            <w:vAlign w:val="center"/>
          </w:tcPr>
          <w:p w14:paraId="23C6F5E5" w14:textId="77777777" w:rsidR="00076C4A" w:rsidRPr="00FB2906" w:rsidRDefault="00076C4A" w:rsidP="00E435E4">
            <w:pPr>
              <w:spacing w:line="276" w:lineRule="auto"/>
              <w:ind w:right="91"/>
            </w:pPr>
            <w:r w:rsidRPr="00FB2906">
              <w:t>Cash and cash equivalents</w:t>
            </w:r>
          </w:p>
        </w:tc>
        <w:tc>
          <w:tcPr>
            <w:tcW w:w="831" w:type="dxa"/>
            <w:vAlign w:val="center"/>
          </w:tcPr>
          <w:p w14:paraId="22D4097E" w14:textId="77777777" w:rsidR="00076C4A" w:rsidRPr="00FB2906" w:rsidRDefault="00076C4A" w:rsidP="00E435E4">
            <w:pPr>
              <w:spacing w:line="276" w:lineRule="auto"/>
              <w:ind w:right="91"/>
            </w:pPr>
          </w:p>
        </w:tc>
        <w:tc>
          <w:tcPr>
            <w:tcW w:w="1757" w:type="dxa"/>
            <w:vAlign w:val="center"/>
          </w:tcPr>
          <w:p w14:paraId="3B7CDC33" w14:textId="77777777" w:rsidR="00076C4A" w:rsidRPr="00FB2906" w:rsidRDefault="00076C4A" w:rsidP="00E435E4">
            <w:pPr>
              <w:spacing w:line="276" w:lineRule="auto"/>
              <w:ind w:right="91"/>
              <w:jc w:val="right"/>
            </w:pPr>
            <w:r w:rsidRPr="00FB2906">
              <w:t>1,071,689</w:t>
            </w:r>
          </w:p>
        </w:tc>
        <w:tc>
          <w:tcPr>
            <w:tcW w:w="1757" w:type="dxa"/>
            <w:vAlign w:val="center"/>
          </w:tcPr>
          <w:p w14:paraId="4018578F" w14:textId="77777777" w:rsidR="00076C4A" w:rsidRPr="00FB2906" w:rsidRDefault="00076C4A" w:rsidP="00E435E4">
            <w:pPr>
              <w:spacing w:line="276" w:lineRule="auto"/>
              <w:ind w:right="91"/>
              <w:jc w:val="right"/>
            </w:pPr>
            <w:r w:rsidRPr="00FB2906">
              <w:t>893,986</w:t>
            </w:r>
          </w:p>
        </w:tc>
      </w:tr>
      <w:tr w:rsidR="00076C4A" w:rsidRPr="00FB2906" w14:paraId="2A34B96E" w14:textId="77777777" w:rsidTr="00E435E4">
        <w:trPr>
          <w:trHeight w:val="340"/>
        </w:trPr>
        <w:tc>
          <w:tcPr>
            <w:tcW w:w="4535" w:type="dxa"/>
            <w:vAlign w:val="center"/>
          </w:tcPr>
          <w:p w14:paraId="429FA41F" w14:textId="77777777" w:rsidR="00076C4A" w:rsidRPr="00FB2906" w:rsidRDefault="00076C4A" w:rsidP="00E435E4">
            <w:pPr>
              <w:spacing w:line="276" w:lineRule="auto"/>
              <w:ind w:right="91"/>
            </w:pPr>
            <w:r w:rsidRPr="00FB2906">
              <w:t>Trade and other receivables</w:t>
            </w:r>
          </w:p>
        </w:tc>
        <w:tc>
          <w:tcPr>
            <w:tcW w:w="831" w:type="dxa"/>
            <w:vAlign w:val="center"/>
          </w:tcPr>
          <w:p w14:paraId="01681C8C" w14:textId="77777777" w:rsidR="00076C4A" w:rsidRPr="00FB2906" w:rsidRDefault="00076C4A" w:rsidP="00E435E4">
            <w:pPr>
              <w:spacing w:line="276" w:lineRule="auto"/>
              <w:ind w:right="91"/>
            </w:pPr>
          </w:p>
        </w:tc>
        <w:tc>
          <w:tcPr>
            <w:tcW w:w="1757" w:type="dxa"/>
            <w:vAlign w:val="center"/>
          </w:tcPr>
          <w:p w14:paraId="121BD94A" w14:textId="77777777" w:rsidR="00076C4A" w:rsidRPr="00FB2906" w:rsidRDefault="00076C4A" w:rsidP="00E435E4">
            <w:pPr>
              <w:spacing w:line="276" w:lineRule="auto"/>
              <w:ind w:right="91"/>
              <w:jc w:val="right"/>
            </w:pPr>
            <w:r w:rsidRPr="00FB2906">
              <w:t>493,248</w:t>
            </w:r>
          </w:p>
        </w:tc>
        <w:tc>
          <w:tcPr>
            <w:tcW w:w="1757" w:type="dxa"/>
            <w:vAlign w:val="center"/>
          </w:tcPr>
          <w:p w14:paraId="516BA8BA" w14:textId="77777777" w:rsidR="00076C4A" w:rsidRPr="00FB2906" w:rsidRDefault="00076C4A" w:rsidP="00E435E4">
            <w:pPr>
              <w:spacing w:line="276" w:lineRule="auto"/>
              <w:ind w:right="91"/>
              <w:jc w:val="right"/>
            </w:pPr>
            <w:r w:rsidRPr="00FB2906">
              <w:t>601,722</w:t>
            </w:r>
          </w:p>
        </w:tc>
      </w:tr>
      <w:tr w:rsidR="00076C4A" w:rsidRPr="00FB2906" w14:paraId="315FB55D" w14:textId="77777777" w:rsidTr="00E435E4">
        <w:trPr>
          <w:trHeight w:val="340"/>
        </w:trPr>
        <w:tc>
          <w:tcPr>
            <w:tcW w:w="4535" w:type="dxa"/>
            <w:tcBorders>
              <w:bottom w:val="single" w:sz="4" w:space="0" w:color="auto"/>
            </w:tcBorders>
            <w:vAlign w:val="center"/>
          </w:tcPr>
          <w:p w14:paraId="43BA88A1" w14:textId="77777777" w:rsidR="00076C4A" w:rsidRPr="00FB2906" w:rsidRDefault="00076C4A" w:rsidP="00E435E4">
            <w:pPr>
              <w:spacing w:line="276" w:lineRule="auto"/>
              <w:ind w:right="91"/>
            </w:pPr>
            <w:r w:rsidRPr="00FB2906">
              <w:t>Other Assets</w:t>
            </w:r>
          </w:p>
        </w:tc>
        <w:tc>
          <w:tcPr>
            <w:tcW w:w="831" w:type="dxa"/>
            <w:tcBorders>
              <w:bottom w:val="single" w:sz="4" w:space="0" w:color="auto"/>
            </w:tcBorders>
            <w:vAlign w:val="center"/>
          </w:tcPr>
          <w:p w14:paraId="66184FE5" w14:textId="77777777" w:rsidR="00076C4A" w:rsidRPr="00FB2906" w:rsidRDefault="00076C4A" w:rsidP="00E435E4">
            <w:pPr>
              <w:spacing w:line="276" w:lineRule="auto"/>
              <w:ind w:right="91"/>
            </w:pPr>
          </w:p>
        </w:tc>
        <w:tc>
          <w:tcPr>
            <w:tcW w:w="1757" w:type="dxa"/>
            <w:tcBorders>
              <w:bottom w:val="single" w:sz="4" w:space="0" w:color="auto"/>
            </w:tcBorders>
            <w:vAlign w:val="center"/>
          </w:tcPr>
          <w:p w14:paraId="4DBDE200" w14:textId="77777777" w:rsidR="00076C4A" w:rsidRPr="00FB2906" w:rsidRDefault="00076C4A" w:rsidP="00E435E4">
            <w:pPr>
              <w:spacing w:line="276" w:lineRule="auto"/>
              <w:ind w:right="91"/>
              <w:jc w:val="right"/>
            </w:pPr>
            <w:r w:rsidRPr="00FB2906">
              <w:t>308</w:t>
            </w:r>
          </w:p>
        </w:tc>
        <w:tc>
          <w:tcPr>
            <w:tcW w:w="1757" w:type="dxa"/>
            <w:tcBorders>
              <w:bottom w:val="single" w:sz="4" w:space="0" w:color="auto"/>
            </w:tcBorders>
            <w:vAlign w:val="center"/>
          </w:tcPr>
          <w:p w14:paraId="089403BA" w14:textId="77777777" w:rsidR="00076C4A" w:rsidRPr="00FB2906" w:rsidRDefault="00076C4A" w:rsidP="00E435E4">
            <w:pPr>
              <w:spacing w:line="276" w:lineRule="auto"/>
              <w:ind w:right="91"/>
              <w:jc w:val="right"/>
            </w:pPr>
            <w:r w:rsidRPr="00FB2906">
              <w:t>4,097</w:t>
            </w:r>
          </w:p>
        </w:tc>
      </w:tr>
      <w:tr w:rsidR="00076C4A" w:rsidRPr="00FB2906" w14:paraId="2846A8FD" w14:textId="77777777" w:rsidTr="00E435E4">
        <w:trPr>
          <w:trHeight w:val="340"/>
        </w:trPr>
        <w:tc>
          <w:tcPr>
            <w:tcW w:w="4535" w:type="dxa"/>
            <w:tcBorders>
              <w:top w:val="single" w:sz="4" w:space="0" w:color="auto"/>
              <w:bottom w:val="single" w:sz="4" w:space="0" w:color="auto"/>
            </w:tcBorders>
            <w:vAlign w:val="center"/>
          </w:tcPr>
          <w:p w14:paraId="3FBD6C81" w14:textId="77777777" w:rsidR="00076C4A" w:rsidRPr="00FB2906" w:rsidRDefault="00076C4A" w:rsidP="00E435E4">
            <w:pPr>
              <w:spacing w:line="276" w:lineRule="auto"/>
              <w:ind w:right="91"/>
              <w:rPr>
                <w:b/>
              </w:rPr>
            </w:pPr>
            <w:r w:rsidRPr="00FB2906">
              <w:rPr>
                <w:b/>
              </w:rPr>
              <w:t>Total Current Assets</w:t>
            </w:r>
          </w:p>
        </w:tc>
        <w:tc>
          <w:tcPr>
            <w:tcW w:w="831" w:type="dxa"/>
            <w:tcBorders>
              <w:top w:val="single" w:sz="4" w:space="0" w:color="auto"/>
              <w:bottom w:val="single" w:sz="4" w:space="0" w:color="auto"/>
            </w:tcBorders>
            <w:vAlign w:val="center"/>
          </w:tcPr>
          <w:p w14:paraId="60F861C9" w14:textId="77777777" w:rsidR="00076C4A" w:rsidRPr="00FB2906" w:rsidRDefault="00076C4A" w:rsidP="00E435E4">
            <w:pPr>
              <w:spacing w:line="276" w:lineRule="auto"/>
              <w:ind w:right="91"/>
            </w:pPr>
          </w:p>
        </w:tc>
        <w:tc>
          <w:tcPr>
            <w:tcW w:w="1757" w:type="dxa"/>
            <w:tcBorders>
              <w:top w:val="single" w:sz="4" w:space="0" w:color="auto"/>
              <w:bottom w:val="single" w:sz="4" w:space="0" w:color="auto"/>
            </w:tcBorders>
            <w:vAlign w:val="center"/>
          </w:tcPr>
          <w:p w14:paraId="33CC3C74" w14:textId="77777777" w:rsidR="00076C4A" w:rsidRPr="00FB2906" w:rsidRDefault="00076C4A" w:rsidP="00E435E4">
            <w:pPr>
              <w:spacing w:line="276" w:lineRule="auto"/>
              <w:ind w:right="91"/>
              <w:jc w:val="right"/>
            </w:pPr>
            <w:r w:rsidRPr="00FB2906">
              <w:fldChar w:fldCharType="begin"/>
            </w:r>
            <w:r w:rsidRPr="00FB2906">
              <w:instrText xml:space="preserve"> =SUM(ABOVE) </w:instrText>
            </w:r>
            <w:r w:rsidRPr="00FB2906">
              <w:fldChar w:fldCharType="separate"/>
            </w:r>
            <w:r w:rsidRPr="00FB2906">
              <w:rPr>
                <w:noProof/>
              </w:rPr>
              <w:t>1,565,245</w:t>
            </w:r>
            <w:r w:rsidRPr="00FB2906">
              <w:fldChar w:fldCharType="end"/>
            </w:r>
          </w:p>
        </w:tc>
        <w:tc>
          <w:tcPr>
            <w:tcW w:w="1757" w:type="dxa"/>
            <w:tcBorders>
              <w:top w:val="single" w:sz="4" w:space="0" w:color="auto"/>
              <w:bottom w:val="single" w:sz="4" w:space="0" w:color="auto"/>
            </w:tcBorders>
            <w:vAlign w:val="center"/>
          </w:tcPr>
          <w:p w14:paraId="3D37FF37" w14:textId="77777777" w:rsidR="00076C4A" w:rsidRPr="00FB2906" w:rsidRDefault="00076C4A" w:rsidP="00E435E4">
            <w:pPr>
              <w:spacing w:line="276" w:lineRule="auto"/>
              <w:ind w:right="91"/>
              <w:jc w:val="right"/>
            </w:pPr>
            <w:r w:rsidRPr="00FB2906">
              <w:fldChar w:fldCharType="begin"/>
            </w:r>
            <w:r w:rsidRPr="00FB2906">
              <w:instrText xml:space="preserve"> =SUM(ABOVE) </w:instrText>
            </w:r>
            <w:r w:rsidRPr="00FB2906">
              <w:fldChar w:fldCharType="separate"/>
            </w:r>
            <w:r w:rsidRPr="00FB2906">
              <w:fldChar w:fldCharType="begin"/>
            </w:r>
            <w:r w:rsidRPr="00FB2906">
              <w:instrText xml:space="preserve"> =SUM(ABOVE) </w:instrText>
            </w:r>
            <w:r w:rsidRPr="00FB2906">
              <w:fldChar w:fldCharType="separate"/>
            </w:r>
            <w:r w:rsidRPr="00FB2906">
              <w:rPr>
                <w:noProof/>
              </w:rPr>
              <w:t>1,499,805</w:t>
            </w:r>
            <w:r w:rsidRPr="00FB2906">
              <w:fldChar w:fldCharType="end"/>
            </w:r>
            <w:r w:rsidRPr="00FB2906">
              <w:fldChar w:fldCharType="end"/>
            </w:r>
          </w:p>
        </w:tc>
      </w:tr>
      <w:tr w:rsidR="00076C4A" w:rsidRPr="00FB2906" w14:paraId="15B2EDB0" w14:textId="77777777" w:rsidTr="00E435E4">
        <w:trPr>
          <w:trHeight w:val="340"/>
        </w:trPr>
        <w:tc>
          <w:tcPr>
            <w:tcW w:w="4535" w:type="dxa"/>
            <w:tcBorders>
              <w:top w:val="single" w:sz="4" w:space="0" w:color="auto"/>
            </w:tcBorders>
            <w:vAlign w:val="center"/>
          </w:tcPr>
          <w:p w14:paraId="39CDBABE" w14:textId="77777777" w:rsidR="00076C4A" w:rsidRPr="00FB2906" w:rsidRDefault="00076C4A" w:rsidP="00E435E4">
            <w:pPr>
              <w:spacing w:line="276" w:lineRule="auto"/>
              <w:ind w:right="91"/>
            </w:pPr>
          </w:p>
        </w:tc>
        <w:tc>
          <w:tcPr>
            <w:tcW w:w="831" w:type="dxa"/>
            <w:tcBorders>
              <w:top w:val="single" w:sz="4" w:space="0" w:color="auto"/>
            </w:tcBorders>
            <w:vAlign w:val="center"/>
          </w:tcPr>
          <w:p w14:paraId="2481D3C8" w14:textId="77777777" w:rsidR="00076C4A" w:rsidRPr="00FB2906" w:rsidRDefault="00076C4A" w:rsidP="00E435E4">
            <w:pPr>
              <w:spacing w:line="276" w:lineRule="auto"/>
              <w:ind w:right="91"/>
            </w:pPr>
          </w:p>
        </w:tc>
        <w:tc>
          <w:tcPr>
            <w:tcW w:w="1757" w:type="dxa"/>
            <w:tcBorders>
              <w:top w:val="single" w:sz="4" w:space="0" w:color="auto"/>
            </w:tcBorders>
            <w:vAlign w:val="center"/>
          </w:tcPr>
          <w:p w14:paraId="23A66172" w14:textId="77777777" w:rsidR="00076C4A" w:rsidRPr="00FB2906" w:rsidRDefault="00076C4A" w:rsidP="00E435E4">
            <w:pPr>
              <w:spacing w:line="276" w:lineRule="auto"/>
              <w:ind w:right="91"/>
              <w:jc w:val="right"/>
            </w:pPr>
          </w:p>
        </w:tc>
        <w:tc>
          <w:tcPr>
            <w:tcW w:w="1757" w:type="dxa"/>
            <w:tcBorders>
              <w:top w:val="single" w:sz="4" w:space="0" w:color="auto"/>
            </w:tcBorders>
            <w:vAlign w:val="center"/>
          </w:tcPr>
          <w:p w14:paraId="40F51853" w14:textId="77777777" w:rsidR="00076C4A" w:rsidRPr="00FB2906" w:rsidRDefault="00076C4A" w:rsidP="00E435E4">
            <w:pPr>
              <w:spacing w:line="276" w:lineRule="auto"/>
              <w:ind w:right="91"/>
              <w:jc w:val="right"/>
            </w:pPr>
          </w:p>
        </w:tc>
      </w:tr>
      <w:tr w:rsidR="00076C4A" w:rsidRPr="00FB2906" w14:paraId="1DEE8183" w14:textId="77777777" w:rsidTr="00E435E4">
        <w:trPr>
          <w:trHeight w:val="340"/>
        </w:trPr>
        <w:tc>
          <w:tcPr>
            <w:tcW w:w="4535" w:type="dxa"/>
            <w:vAlign w:val="center"/>
          </w:tcPr>
          <w:p w14:paraId="0C5541FF" w14:textId="77777777" w:rsidR="00076C4A" w:rsidRPr="00FB2906" w:rsidRDefault="00076C4A" w:rsidP="00E435E4">
            <w:pPr>
              <w:spacing w:line="276" w:lineRule="auto"/>
              <w:ind w:right="91"/>
              <w:rPr>
                <w:b/>
              </w:rPr>
            </w:pPr>
            <w:r w:rsidRPr="00FB2906">
              <w:rPr>
                <w:b/>
              </w:rPr>
              <w:t>Non-Current Assets</w:t>
            </w:r>
          </w:p>
        </w:tc>
        <w:tc>
          <w:tcPr>
            <w:tcW w:w="831" w:type="dxa"/>
            <w:vAlign w:val="center"/>
          </w:tcPr>
          <w:p w14:paraId="3DD18AEF" w14:textId="77777777" w:rsidR="00076C4A" w:rsidRPr="00FB2906" w:rsidRDefault="00076C4A" w:rsidP="00E435E4">
            <w:pPr>
              <w:spacing w:line="276" w:lineRule="auto"/>
              <w:ind w:right="91"/>
            </w:pPr>
          </w:p>
        </w:tc>
        <w:tc>
          <w:tcPr>
            <w:tcW w:w="1757" w:type="dxa"/>
            <w:vAlign w:val="center"/>
          </w:tcPr>
          <w:p w14:paraId="2ACBCE9D" w14:textId="77777777" w:rsidR="00076C4A" w:rsidRPr="00FB2906" w:rsidRDefault="00076C4A" w:rsidP="00E435E4">
            <w:pPr>
              <w:spacing w:line="276" w:lineRule="auto"/>
              <w:ind w:right="91"/>
              <w:jc w:val="right"/>
            </w:pPr>
          </w:p>
        </w:tc>
        <w:tc>
          <w:tcPr>
            <w:tcW w:w="1757" w:type="dxa"/>
            <w:vAlign w:val="center"/>
          </w:tcPr>
          <w:p w14:paraId="67C22411" w14:textId="77777777" w:rsidR="00076C4A" w:rsidRPr="00FB2906" w:rsidRDefault="00076C4A" w:rsidP="00E435E4">
            <w:pPr>
              <w:spacing w:line="276" w:lineRule="auto"/>
              <w:ind w:right="91"/>
              <w:jc w:val="right"/>
            </w:pPr>
          </w:p>
        </w:tc>
      </w:tr>
      <w:tr w:rsidR="00076C4A" w:rsidRPr="00FB2906" w14:paraId="63A98497" w14:textId="77777777" w:rsidTr="00E435E4">
        <w:trPr>
          <w:trHeight w:val="340"/>
        </w:trPr>
        <w:tc>
          <w:tcPr>
            <w:tcW w:w="4535" w:type="dxa"/>
            <w:vAlign w:val="center"/>
          </w:tcPr>
          <w:p w14:paraId="61EB3031" w14:textId="77777777" w:rsidR="00076C4A" w:rsidRPr="00FB2906" w:rsidRDefault="00076C4A" w:rsidP="00E435E4">
            <w:pPr>
              <w:spacing w:line="276" w:lineRule="auto"/>
              <w:ind w:right="91"/>
            </w:pPr>
            <w:r w:rsidRPr="00FB2906">
              <w:t>Property, plant and equipment</w:t>
            </w:r>
          </w:p>
          <w:p w14:paraId="16A4AB15" w14:textId="77777777" w:rsidR="00076C4A" w:rsidRPr="00FB2906" w:rsidRDefault="00076C4A" w:rsidP="00E435E4">
            <w:pPr>
              <w:spacing w:line="276" w:lineRule="auto"/>
              <w:ind w:right="91"/>
            </w:pPr>
            <w:r w:rsidRPr="00FB2906">
              <w:t>Right of Use Asset</w:t>
            </w:r>
          </w:p>
        </w:tc>
        <w:tc>
          <w:tcPr>
            <w:tcW w:w="831" w:type="dxa"/>
            <w:vAlign w:val="center"/>
          </w:tcPr>
          <w:p w14:paraId="464411F4" w14:textId="77777777" w:rsidR="00076C4A" w:rsidRPr="00FB2906" w:rsidRDefault="00076C4A" w:rsidP="00E435E4">
            <w:pPr>
              <w:spacing w:line="276" w:lineRule="auto"/>
              <w:ind w:right="91"/>
            </w:pPr>
          </w:p>
        </w:tc>
        <w:tc>
          <w:tcPr>
            <w:tcW w:w="1757" w:type="dxa"/>
            <w:vAlign w:val="center"/>
          </w:tcPr>
          <w:p w14:paraId="3C71A8DD" w14:textId="77777777" w:rsidR="00076C4A" w:rsidRPr="00FB2906" w:rsidRDefault="00076C4A" w:rsidP="00E435E4">
            <w:pPr>
              <w:spacing w:line="276" w:lineRule="auto"/>
              <w:ind w:right="91"/>
              <w:jc w:val="right"/>
            </w:pPr>
            <w:r w:rsidRPr="00FB2906">
              <w:t>20,434</w:t>
            </w:r>
          </w:p>
          <w:p w14:paraId="6F67FD59" w14:textId="77777777" w:rsidR="00076C4A" w:rsidRPr="00FB2906" w:rsidRDefault="00076C4A" w:rsidP="00E435E4">
            <w:pPr>
              <w:spacing w:line="276" w:lineRule="auto"/>
              <w:ind w:right="91"/>
              <w:jc w:val="right"/>
            </w:pPr>
            <w:r w:rsidRPr="00FB2906">
              <w:t>234,485</w:t>
            </w:r>
          </w:p>
        </w:tc>
        <w:tc>
          <w:tcPr>
            <w:tcW w:w="1757" w:type="dxa"/>
            <w:vAlign w:val="center"/>
          </w:tcPr>
          <w:p w14:paraId="036F4216" w14:textId="77777777" w:rsidR="00076C4A" w:rsidRPr="00FB2906" w:rsidRDefault="00076C4A" w:rsidP="00E435E4">
            <w:pPr>
              <w:spacing w:line="276" w:lineRule="auto"/>
              <w:ind w:right="91"/>
              <w:jc w:val="right"/>
            </w:pPr>
            <w:r w:rsidRPr="00FB2906">
              <w:t>29,560</w:t>
            </w:r>
          </w:p>
          <w:p w14:paraId="5E46F81E" w14:textId="77777777" w:rsidR="00076C4A" w:rsidRPr="00FB2906" w:rsidRDefault="00076C4A" w:rsidP="00E435E4">
            <w:pPr>
              <w:spacing w:line="276" w:lineRule="auto"/>
              <w:ind w:right="91"/>
              <w:jc w:val="right"/>
            </w:pPr>
            <w:r w:rsidRPr="00FB2906">
              <w:t>-</w:t>
            </w:r>
          </w:p>
        </w:tc>
      </w:tr>
      <w:tr w:rsidR="00076C4A" w:rsidRPr="00FB2906" w14:paraId="7BE235F6" w14:textId="77777777" w:rsidTr="00E435E4">
        <w:trPr>
          <w:trHeight w:val="340"/>
        </w:trPr>
        <w:tc>
          <w:tcPr>
            <w:tcW w:w="4535" w:type="dxa"/>
            <w:tcBorders>
              <w:bottom w:val="single" w:sz="4" w:space="0" w:color="auto"/>
            </w:tcBorders>
            <w:vAlign w:val="center"/>
          </w:tcPr>
          <w:p w14:paraId="7950920F" w14:textId="77777777" w:rsidR="00076C4A" w:rsidRPr="00FB2906" w:rsidRDefault="00076C4A" w:rsidP="00E435E4">
            <w:pPr>
              <w:spacing w:line="276" w:lineRule="auto"/>
              <w:ind w:right="91"/>
            </w:pPr>
            <w:r w:rsidRPr="00FB2906">
              <w:t>Intangible Assets</w:t>
            </w:r>
          </w:p>
        </w:tc>
        <w:tc>
          <w:tcPr>
            <w:tcW w:w="831" w:type="dxa"/>
            <w:tcBorders>
              <w:bottom w:val="single" w:sz="4" w:space="0" w:color="auto"/>
            </w:tcBorders>
            <w:vAlign w:val="center"/>
          </w:tcPr>
          <w:p w14:paraId="2300374C" w14:textId="77777777" w:rsidR="00076C4A" w:rsidRPr="00FB2906" w:rsidRDefault="00076C4A" w:rsidP="00E435E4">
            <w:pPr>
              <w:spacing w:line="276" w:lineRule="auto"/>
              <w:ind w:right="91"/>
            </w:pPr>
          </w:p>
        </w:tc>
        <w:tc>
          <w:tcPr>
            <w:tcW w:w="1757" w:type="dxa"/>
            <w:tcBorders>
              <w:bottom w:val="single" w:sz="2" w:space="0" w:color="auto"/>
            </w:tcBorders>
            <w:vAlign w:val="center"/>
          </w:tcPr>
          <w:p w14:paraId="5A561D2C" w14:textId="77777777" w:rsidR="00076C4A" w:rsidRPr="00FB2906" w:rsidRDefault="00076C4A" w:rsidP="00E435E4">
            <w:pPr>
              <w:spacing w:line="276" w:lineRule="auto"/>
              <w:ind w:right="91"/>
              <w:jc w:val="right"/>
            </w:pPr>
            <w:r w:rsidRPr="00FB2906">
              <w:t>40,398</w:t>
            </w:r>
          </w:p>
        </w:tc>
        <w:tc>
          <w:tcPr>
            <w:tcW w:w="1757" w:type="dxa"/>
            <w:tcBorders>
              <w:bottom w:val="single" w:sz="2" w:space="0" w:color="auto"/>
            </w:tcBorders>
            <w:vAlign w:val="center"/>
          </w:tcPr>
          <w:p w14:paraId="34AA1486" w14:textId="77777777" w:rsidR="00076C4A" w:rsidRPr="00FB2906" w:rsidRDefault="00076C4A" w:rsidP="00E435E4">
            <w:pPr>
              <w:spacing w:line="276" w:lineRule="auto"/>
              <w:ind w:right="91"/>
              <w:jc w:val="right"/>
            </w:pPr>
            <w:r w:rsidRPr="00FB2906">
              <w:t>31,598</w:t>
            </w:r>
          </w:p>
        </w:tc>
      </w:tr>
      <w:tr w:rsidR="00076C4A" w:rsidRPr="00FB2906" w14:paraId="48A46BE8" w14:textId="77777777" w:rsidTr="00E435E4">
        <w:trPr>
          <w:trHeight w:val="340"/>
        </w:trPr>
        <w:tc>
          <w:tcPr>
            <w:tcW w:w="4535" w:type="dxa"/>
            <w:tcBorders>
              <w:top w:val="single" w:sz="4" w:space="0" w:color="auto"/>
              <w:bottom w:val="single" w:sz="4" w:space="0" w:color="auto"/>
            </w:tcBorders>
            <w:vAlign w:val="center"/>
          </w:tcPr>
          <w:p w14:paraId="303D240A" w14:textId="77777777" w:rsidR="00076C4A" w:rsidRPr="00FB2906" w:rsidRDefault="00076C4A" w:rsidP="00E435E4">
            <w:pPr>
              <w:spacing w:line="276" w:lineRule="auto"/>
              <w:ind w:right="91"/>
              <w:rPr>
                <w:b/>
              </w:rPr>
            </w:pPr>
            <w:r w:rsidRPr="00FB2906">
              <w:rPr>
                <w:b/>
              </w:rPr>
              <w:t>Total Non-Current Assets</w:t>
            </w:r>
          </w:p>
        </w:tc>
        <w:tc>
          <w:tcPr>
            <w:tcW w:w="831" w:type="dxa"/>
            <w:tcBorders>
              <w:top w:val="single" w:sz="4" w:space="0" w:color="auto"/>
              <w:bottom w:val="single" w:sz="4" w:space="0" w:color="auto"/>
            </w:tcBorders>
            <w:vAlign w:val="center"/>
          </w:tcPr>
          <w:p w14:paraId="349C6F45" w14:textId="77777777" w:rsidR="00076C4A" w:rsidRPr="00FB2906" w:rsidRDefault="00076C4A" w:rsidP="00E435E4">
            <w:pPr>
              <w:spacing w:line="276" w:lineRule="auto"/>
              <w:ind w:right="91"/>
            </w:pPr>
          </w:p>
        </w:tc>
        <w:tc>
          <w:tcPr>
            <w:tcW w:w="1757" w:type="dxa"/>
            <w:tcBorders>
              <w:top w:val="single" w:sz="2" w:space="0" w:color="auto"/>
              <w:bottom w:val="single" w:sz="2" w:space="0" w:color="auto"/>
            </w:tcBorders>
            <w:vAlign w:val="center"/>
          </w:tcPr>
          <w:p w14:paraId="70658986" w14:textId="77777777" w:rsidR="00076C4A" w:rsidRPr="00FB2906" w:rsidRDefault="00076C4A" w:rsidP="00E435E4">
            <w:pPr>
              <w:spacing w:line="276" w:lineRule="auto"/>
              <w:ind w:right="91"/>
              <w:jc w:val="right"/>
            </w:pPr>
            <w:r w:rsidRPr="00FB2906">
              <w:t>295,317</w:t>
            </w:r>
          </w:p>
        </w:tc>
        <w:tc>
          <w:tcPr>
            <w:tcW w:w="1757" w:type="dxa"/>
            <w:tcBorders>
              <w:top w:val="single" w:sz="2" w:space="0" w:color="auto"/>
              <w:bottom w:val="single" w:sz="2" w:space="0" w:color="auto"/>
            </w:tcBorders>
            <w:vAlign w:val="center"/>
          </w:tcPr>
          <w:p w14:paraId="0259C342" w14:textId="77777777" w:rsidR="00076C4A" w:rsidRPr="00FB2906" w:rsidRDefault="00076C4A" w:rsidP="00E435E4">
            <w:pPr>
              <w:spacing w:line="276" w:lineRule="auto"/>
              <w:ind w:right="91"/>
              <w:jc w:val="right"/>
            </w:pPr>
            <w:r w:rsidRPr="00FB2906">
              <w:fldChar w:fldCharType="begin"/>
            </w:r>
            <w:r w:rsidRPr="00FB2906">
              <w:instrText xml:space="preserve"> =SUM(ABOVE) </w:instrText>
            </w:r>
            <w:r w:rsidRPr="00FB2906">
              <w:fldChar w:fldCharType="separate"/>
            </w:r>
            <w:r w:rsidRPr="00FB2906">
              <w:rPr>
                <w:noProof/>
              </w:rPr>
              <w:t>61,158</w:t>
            </w:r>
            <w:r w:rsidRPr="00FB2906">
              <w:fldChar w:fldCharType="end"/>
            </w:r>
          </w:p>
        </w:tc>
      </w:tr>
      <w:tr w:rsidR="00076C4A" w:rsidRPr="00FB2906" w14:paraId="3C7AB1D3" w14:textId="77777777" w:rsidTr="00E435E4">
        <w:trPr>
          <w:trHeight w:val="567"/>
        </w:trPr>
        <w:tc>
          <w:tcPr>
            <w:tcW w:w="4535" w:type="dxa"/>
            <w:tcBorders>
              <w:top w:val="single" w:sz="4" w:space="0" w:color="auto"/>
              <w:bottom w:val="single" w:sz="12" w:space="0" w:color="auto"/>
            </w:tcBorders>
            <w:vAlign w:val="center"/>
          </w:tcPr>
          <w:p w14:paraId="66CC6E36" w14:textId="77777777" w:rsidR="00076C4A" w:rsidRPr="00FB2906" w:rsidRDefault="00076C4A" w:rsidP="00E435E4">
            <w:pPr>
              <w:spacing w:line="276" w:lineRule="auto"/>
              <w:ind w:right="91"/>
              <w:rPr>
                <w:b/>
              </w:rPr>
            </w:pPr>
            <w:r w:rsidRPr="00FB2906">
              <w:rPr>
                <w:b/>
              </w:rPr>
              <w:t>Total Assets</w:t>
            </w:r>
          </w:p>
        </w:tc>
        <w:tc>
          <w:tcPr>
            <w:tcW w:w="831" w:type="dxa"/>
            <w:tcBorders>
              <w:top w:val="single" w:sz="4" w:space="0" w:color="auto"/>
              <w:bottom w:val="single" w:sz="12" w:space="0" w:color="auto"/>
            </w:tcBorders>
            <w:vAlign w:val="center"/>
          </w:tcPr>
          <w:p w14:paraId="4BACF0AC" w14:textId="77777777" w:rsidR="00076C4A" w:rsidRPr="00FB2906" w:rsidRDefault="00076C4A" w:rsidP="00E435E4">
            <w:pPr>
              <w:spacing w:line="276" w:lineRule="auto"/>
              <w:ind w:right="91"/>
            </w:pPr>
          </w:p>
        </w:tc>
        <w:tc>
          <w:tcPr>
            <w:tcW w:w="1757" w:type="dxa"/>
            <w:tcBorders>
              <w:top w:val="single" w:sz="2" w:space="0" w:color="auto"/>
              <w:bottom w:val="single" w:sz="12" w:space="0" w:color="auto"/>
            </w:tcBorders>
            <w:vAlign w:val="center"/>
          </w:tcPr>
          <w:p w14:paraId="4499D545" w14:textId="77777777" w:rsidR="00076C4A" w:rsidRPr="00FB2906" w:rsidRDefault="00076C4A" w:rsidP="00E435E4">
            <w:pPr>
              <w:spacing w:line="276" w:lineRule="auto"/>
              <w:ind w:right="91"/>
              <w:jc w:val="right"/>
            </w:pPr>
            <w:r w:rsidRPr="00FB2906">
              <w:t>1,860,562</w:t>
            </w:r>
          </w:p>
        </w:tc>
        <w:tc>
          <w:tcPr>
            <w:tcW w:w="1757" w:type="dxa"/>
            <w:tcBorders>
              <w:top w:val="single" w:sz="2" w:space="0" w:color="auto"/>
              <w:bottom w:val="single" w:sz="12" w:space="0" w:color="auto"/>
            </w:tcBorders>
            <w:vAlign w:val="center"/>
          </w:tcPr>
          <w:p w14:paraId="5C97894A" w14:textId="77777777" w:rsidR="00076C4A" w:rsidRPr="00FB2906" w:rsidRDefault="00076C4A" w:rsidP="00E435E4">
            <w:pPr>
              <w:spacing w:line="276" w:lineRule="auto"/>
              <w:ind w:right="91"/>
              <w:jc w:val="right"/>
            </w:pPr>
            <w:r w:rsidRPr="00FB2906">
              <w:fldChar w:fldCharType="begin"/>
            </w:r>
            <w:r w:rsidRPr="00FB2906">
              <w:instrText xml:space="preserve"> =c7+c12 \# "#,##0" </w:instrText>
            </w:r>
            <w:r w:rsidRPr="00FB2906">
              <w:fldChar w:fldCharType="separate"/>
            </w:r>
            <w:r w:rsidRPr="00FB2906">
              <w:rPr>
                <w:noProof/>
              </w:rPr>
              <w:t>1,560,963</w:t>
            </w:r>
            <w:r w:rsidRPr="00FB2906">
              <w:fldChar w:fldCharType="end"/>
            </w:r>
          </w:p>
        </w:tc>
      </w:tr>
      <w:tr w:rsidR="00076C4A" w:rsidRPr="00FB2906" w14:paraId="40627624" w14:textId="77777777" w:rsidTr="00E435E4">
        <w:trPr>
          <w:trHeight w:val="340"/>
        </w:trPr>
        <w:tc>
          <w:tcPr>
            <w:tcW w:w="4535" w:type="dxa"/>
            <w:tcBorders>
              <w:top w:val="single" w:sz="12" w:space="0" w:color="auto"/>
            </w:tcBorders>
            <w:vAlign w:val="center"/>
          </w:tcPr>
          <w:p w14:paraId="4A04D29B" w14:textId="77777777" w:rsidR="00076C4A" w:rsidRPr="00FB2906" w:rsidRDefault="00076C4A" w:rsidP="00E435E4">
            <w:pPr>
              <w:spacing w:line="276" w:lineRule="auto"/>
              <w:ind w:right="91"/>
              <w:rPr>
                <w:b/>
              </w:rPr>
            </w:pPr>
          </w:p>
        </w:tc>
        <w:tc>
          <w:tcPr>
            <w:tcW w:w="831" w:type="dxa"/>
            <w:tcBorders>
              <w:top w:val="single" w:sz="12" w:space="0" w:color="auto"/>
            </w:tcBorders>
            <w:vAlign w:val="center"/>
          </w:tcPr>
          <w:p w14:paraId="36104DD0" w14:textId="77777777" w:rsidR="00076C4A" w:rsidRPr="00FB2906" w:rsidRDefault="00076C4A" w:rsidP="00E435E4">
            <w:pPr>
              <w:spacing w:line="276" w:lineRule="auto"/>
              <w:ind w:right="91"/>
            </w:pPr>
          </w:p>
        </w:tc>
        <w:tc>
          <w:tcPr>
            <w:tcW w:w="1757" w:type="dxa"/>
            <w:tcBorders>
              <w:top w:val="single" w:sz="12" w:space="0" w:color="auto"/>
            </w:tcBorders>
            <w:vAlign w:val="center"/>
          </w:tcPr>
          <w:p w14:paraId="2A8605AC" w14:textId="77777777" w:rsidR="00076C4A" w:rsidRPr="00FB2906" w:rsidRDefault="00076C4A" w:rsidP="00E435E4">
            <w:pPr>
              <w:spacing w:line="276" w:lineRule="auto"/>
              <w:ind w:right="91"/>
              <w:jc w:val="right"/>
            </w:pPr>
          </w:p>
        </w:tc>
        <w:tc>
          <w:tcPr>
            <w:tcW w:w="1757" w:type="dxa"/>
            <w:tcBorders>
              <w:top w:val="single" w:sz="12" w:space="0" w:color="auto"/>
            </w:tcBorders>
            <w:vAlign w:val="center"/>
          </w:tcPr>
          <w:p w14:paraId="72945A8B" w14:textId="77777777" w:rsidR="00076C4A" w:rsidRPr="00FB2906" w:rsidRDefault="00076C4A" w:rsidP="00E435E4">
            <w:pPr>
              <w:spacing w:line="276" w:lineRule="auto"/>
              <w:ind w:right="91"/>
              <w:jc w:val="right"/>
            </w:pPr>
          </w:p>
        </w:tc>
      </w:tr>
      <w:tr w:rsidR="00076C4A" w:rsidRPr="00FB2906" w14:paraId="6124E914" w14:textId="77777777" w:rsidTr="00E435E4">
        <w:trPr>
          <w:trHeight w:val="340"/>
        </w:trPr>
        <w:tc>
          <w:tcPr>
            <w:tcW w:w="4535" w:type="dxa"/>
            <w:vAlign w:val="center"/>
          </w:tcPr>
          <w:p w14:paraId="1C5B0F6F" w14:textId="77777777" w:rsidR="00076C4A" w:rsidRPr="00FB2906" w:rsidRDefault="00076C4A" w:rsidP="00E435E4">
            <w:pPr>
              <w:spacing w:line="276" w:lineRule="auto"/>
              <w:ind w:right="91"/>
              <w:rPr>
                <w:b/>
              </w:rPr>
            </w:pPr>
            <w:r w:rsidRPr="00FB2906">
              <w:rPr>
                <w:b/>
              </w:rPr>
              <w:t>Current Liabilities</w:t>
            </w:r>
          </w:p>
        </w:tc>
        <w:tc>
          <w:tcPr>
            <w:tcW w:w="831" w:type="dxa"/>
            <w:vAlign w:val="center"/>
          </w:tcPr>
          <w:p w14:paraId="6C6BCC52" w14:textId="77777777" w:rsidR="00076C4A" w:rsidRPr="00FB2906" w:rsidRDefault="00076C4A" w:rsidP="00E435E4">
            <w:pPr>
              <w:spacing w:line="276" w:lineRule="auto"/>
              <w:ind w:right="91"/>
            </w:pPr>
          </w:p>
        </w:tc>
        <w:tc>
          <w:tcPr>
            <w:tcW w:w="1757" w:type="dxa"/>
            <w:vAlign w:val="center"/>
          </w:tcPr>
          <w:p w14:paraId="7E8A4C10" w14:textId="77777777" w:rsidR="00076C4A" w:rsidRPr="00FB2906" w:rsidRDefault="00076C4A" w:rsidP="00E435E4">
            <w:pPr>
              <w:spacing w:line="276" w:lineRule="auto"/>
              <w:ind w:right="91"/>
              <w:jc w:val="right"/>
            </w:pPr>
          </w:p>
        </w:tc>
        <w:tc>
          <w:tcPr>
            <w:tcW w:w="1757" w:type="dxa"/>
            <w:vAlign w:val="center"/>
          </w:tcPr>
          <w:p w14:paraId="1A94FFC5" w14:textId="77777777" w:rsidR="00076C4A" w:rsidRPr="00FB2906" w:rsidRDefault="00076C4A" w:rsidP="00E435E4">
            <w:pPr>
              <w:spacing w:line="276" w:lineRule="auto"/>
              <w:ind w:right="91"/>
              <w:jc w:val="right"/>
            </w:pPr>
          </w:p>
        </w:tc>
      </w:tr>
      <w:tr w:rsidR="00076C4A" w:rsidRPr="00FB2906" w14:paraId="6E0F38E8" w14:textId="77777777" w:rsidTr="00E435E4">
        <w:trPr>
          <w:trHeight w:val="340"/>
        </w:trPr>
        <w:tc>
          <w:tcPr>
            <w:tcW w:w="4535" w:type="dxa"/>
            <w:vAlign w:val="center"/>
          </w:tcPr>
          <w:p w14:paraId="600E8D2A" w14:textId="77777777" w:rsidR="00076C4A" w:rsidRPr="00FB2906" w:rsidRDefault="00076C4A" w:rsidP="00E435E4">
            <w:pPr>
              <w:spacing w:line="276" w:lineRule="auto"/>
              <w:ind w:right="91"/>
            </w:pPr>
            <w:r w:rsidRPr="00FB2906">
              <w:t>Trade and other payables</w:t>
            </w:r>
          </w:p>
        </w:tc>
        <w:tc>
          <w:tcPr>
            <w:tcW w:w="831" w:type="dxa"/>
            <w:vAlign w:val="center"/>
          </w:tcPr>
          <w:p w14:paraId="294A697D" w14:textId="77777777" w:rsidR="00076C4A" w:rsidRPr="00FB2906" w:rsidRDefault="00076C4A" w:rsidP="00E435E4">
            <w:pPr>
              <w:spacing w:line="276" w:lineRule="auto"/>
              <w:ind w:right="91"/>
            </w:pPr>
          </w:p>
        </w:tc>
        <w:tc>
          <w:tcPr>
            <w:tcW w:w="1757" w:type="dxa"/>
            <w:vAlign w:val="center"/>
          </w:tcPr>
          <w:p w14:paraId="26BDA319" w14:textId="77777777" w:rsidR="00076C4A" w:rsidRPr="00FB2906" w:rsidRDefault="00076C4A" w:rsidP="00E435E4">
            <w:pPr>
              <w:spacing w:line="276" w:lineRule="auto"/>
              <w:ind w:right="91"/>
              <w:jc w:val="right"/>
            </w:pPr>
            <w:r w:rsidRPr="00FB2906">
              <w:t>163,966</w:t>
            </w:r>
          </w:p>
        </w:tc>
        <w:tc>
          <w:tcPr>
            <w:tcW w:w="1757" w:type="dxa"/>
            <w:vAlign w:val="center"/>
          </w:tcPr>
          <w:p w14:paraId="5426C2E2" w14:textId="77777777" w:rsidR="00076C4A" w:rsidRPr="00FB2906" w:rsidRDefault="00076C4A" w:rsidP="00E435E4">
            <w:pPr>
              <w:spacing w:line="276" w:lineRule="auto"/>
              <w:ind w:right="91"/>
              <w:jc w:val="right"/>
            </w:pPr>
            <w:r w:rsidRPr="00FB2906">
              <w:t>168,716</w:t>
            </w:r>
          </w:p>
        </w:tc>
      </w:tr>
      <w:tr w:rsidR="00076C4A" w:rsidRPr="00FB2906" w14:paraId="5D608B5C" w14:textId="77777777" w:rsidTr="00E435E4">
        <w:trPr>
          <w:trHeight w:val="340"/>
        </w:trPr>
        <w:tc>
          <w:tcPr>
            <w:tcW w:w="4535" w:type="dxa"/>
            <w:vAlign w:val="center"/>
          </w:tcPr>
          <w:p w14:paraId="59071032" w14:textId="77777777" w:rsidR="00076C4A" w:rsidRPr="00FB2906" w:rsidRDefault="00076C4A" w:rsidP="00E435E4">
            <w:pPr>
              <w:spacing w:line="276" w:lineRule="auto"/>
              <w:ind w:right="91"/>
            </w:pPr>
            <w:r w:rsidRPr="00FB2906">
              <w:t>Right of Use Asset Liability</w:t>
            </w:r>
          </w:p>
        </w:tc>
        <w:tc>
          <w:tcPr>
            <w:tcW w:w="831" w:type="dxa"/>
            <w:vAlign w:val="center"/>
          </w:tcPr>
          <w:p w14:paraId="7F052800" w14:textId="77777777" w:rsidR="00076C4A" w:rsidRPr="00FB2906" w:rsidRDefault="00076C4A" w:rsidP="00E435E4">
            <w:pPr>
              <w:spacing w:line="276" w:lineRule="auto"/>
              <w:ind w:right="91"/>
            </w:pPr>
          </w:p>
        </w:tc>
        <w:tc>
          <w:tcPr>
            <w:tcW w:w="1757" w:type="dxa"/>
            <w:vAlign w:val="center"/>
          </w:tcPr>
          <w:p w14:paraId="03DC800A" w14:textId="77777777" w:rsidR="00076C4A" w:rsidRPr="00FB2906" w:rsidRDefault="00076C4A" w:rsidP="00E435E4">
            <w:pPr>
              <w:spacing w:line="276" w:lineRule="auto"/>
              <w:ind w:right="91"/>
              <w:jc w:val="right"/>
            </w:pPr>
            <w:r w:rsidRPr="00FB2906">
              <w:t>121,332</w:t>
            </w:r>
          </w:p>
        </w:tc>
        <w:tc>
          <w:tcPr>
            <w:tcW w:w="1757" w:type="dxa"/>
            <w:vAlign w:val="center"/>
          </w:tcPr>
          <w:p w14:paraId="3D28B2CF" w14:textId="77777777" w:rsidR="00076C4A" w:rsidRPr="00FB2906" w:rsidRDefault="00076C4A" w:rsidP="00E435E4">
            <w:pPr>
              <w:spacing w:line="276" w:lineRule="auto"/>
              <w:ind w:right="91"/>
              <w:jc w:val="right"/>
            </w:pPr>
            <w:r w:rsidRPr="00FB2906">
              <w:t>-</w:t>
            </w:r>
          </w:p>
        </w:tc>
      </w:tr>
      <w:tr w:rsidR="00076C4A" w:rsidRPr="00FB2906" w14:paraId="278C455D" w14:textId="77777777" w:rsidTr="00E435E4">
        <w:trPr>
          <w:trHeight w:val="340"/>
        </w:trPr>
        <w:tc>
          <w:tcPr>
            <w:tcW w:w="4535" w:type="dxa"/>
            <w:vAlign w:val="center"/>
          </w:tcPr>
          <w:p w14:paraId="5BCF324B" w14:textId="77777777" w:rsidR="00076C4A" w:rsidRPr="00FB2906" w:rsidRDefault="00076C4A" w:rsidP="00E435E4">
            <w:pPr>
              <w:spacing w:line="276" w:lineRule="auto"/>
              <w:ind w:right="91"/>
            </w:pPr>
            <w:r w:rsidRPr="00FB2906">
              <w:t>Employee benefit liability</w:t>
            </w:r>
          </w:p>
        </w:tc>
        <w:tc>
          <w:tcPr>
            <w:tcW w:w="831" w:type="dxa"/>
            <w:vAlign w:val="center"/>
          </w:tcPr>
          <w:p w14:paraId="36C95A56" w14:textId="77777777" w:rsidR="00076C4A" w:rsidRPr="00FB2906" w:rsidRDefault="00076C4A" w:rsidP="00E435E4">
            <w:pPr>
              <w:spacing w:line="276" w:lineRule="auto"/>
              <w:ind w:right="91"/>
            </w:pPr>
          </w:p>
        </w:tc>
        <w:tc>
          <w:tcPr>
            <w:tcW w:w="1757" w:type="dxa"/>
            <w:vAlign w:val="center"/>
          </w:tcPr>
          <w:p w14:paraId="659B6F14" w14:textId="77777777" w:rsidR="00076C4A" w:rsidRPr="00FB2906" w:rsidRDefault="00076C4A" w:rsidP="00E435E4">
            <w:pPr>
              <w:spacing w:line="276" w:lineRule="auto"/>
              <w:ind w:right="91"/>
              <w:jc w:val="right"/>
            </w:pPr>
            <w:r w:rsidRPr="00FB2906">
              <w:t>105,255</w:t>
            </w:r>
          </w:p>
        </w:tc>
        <w:tc>
          <w:tcPr>
            <w:tcW w:w="1757" w:type="dxa"/>
            <w:vAlign w:val="center"/>
          </w:tcPr>
          <w:p w14:paraId="17014A4E" w14:textId="77777777" w:rsidR="00076C4A" w:rsidRPr="00FB2906" w:rsidRDefault="00076C4A" w:rsidP="00E435E4">
            <w:pPr>
              <w:spacing w:line="276" w:lineRule="auto"/>
              <w:ind w:right="91"/>
              <w:jc w:val="right"/>
            </w:pPr>
            <w:r w:rsidRPr="00FB2906">
              <w:t>80,381</w:t>
            </w:r>
          </w:p>
        </w:tc>
      </w:tr>
      <w:tr w:rsidR="00076C4A" w:rsidRPr="00FB2906" w14:paraId="0E77DC23" w14:textId="77777777" w:rsidTr="00E435E4">
        <w:trPr>
          <w:trHeight w:val="340"/>
        </w:trPr>
        <w:tc>
          <w:tcPr>
            <w:tcW w:w="4535" w:type="dxa"/>
            <w:tcBorders>
              <w:bottom w:val="single" w:sz="4" w:space="0" w:color="auto"/>
            </w:tcBorders>
            <w:vAlign w:val="center"/>
          </w:tcPr>
          <w:p w14:paraId="4B4DCF03" w14:textId="77777777" w:rsidR="00076C4A" w:rsidRPr="00FB2906" w:rsidRDefault="00076C4A" w:rsidP="00E435E4">
            <w:pPr>
              <w:spacing w:line="276" w:lineRule="auto"/>
              <w:ind w:right="91"/>
            </w:pPr>
            <w:r w:rsidRPr="00FB2906">
              <w:t>Other liabilities</w:t>
            </w:r>
          </w:p>
        </w:tc>
        <w:tc>
          <w:tcPr>
            <w:tcW w:w="831" w:type="dxa"/>
            <w:tcBorders>
              <w:bottom w:val="single" w:sz="4" w:space="0" w:color="auto"/>
            </w:tcBorders>
            <w:vAlign w:val="center"/>
          </w:tcPr>
          <w:p w14:paraId="030B71D9" w14:textId="77777777" w:rsidR="00076C4A" w:rsidRPr="00FB2906" w:rsidRDefault="00076C4A" w:rsidP="00E435E4">
            <w:pPr>
              <w:spacing w:line="276" w:lineRule="auto"/>
              <w:ind w:right="91"/>
            </w:pPr>
          </w:p>
        </w:tc>
        <w:tc>
          <w:tcPr>
            <w:tcW w:w="1757" w:type="dxa"/>
            <w:tcBorders>
              <w:bottom w:val="single" w:sz="4" w:space="0" w:color="auto"/>
            </w:tcBorders>
            <w:vAlign w:val="center"/>
          </w:tcPr>
          <w:p w14:paraId="691B3772" w14:textId="77777777" w:rsidR="00076C4A" w:rsidRPr="00FB2906" w:rsidRDefault="00076C4A" w:rsidP="00E435E4">
            <w:pPr>
              <w:spacing w:line="276" w:lineRule="auto"/>
              <w:ind w:right="91"/>
              <w:jc w:val="right"/>
            </w:pPr>
            <w:r w:rsidRPr="00FB2906">
              <w:t>713,387</w:t>
            </w:r>
          </w:p>
        </w:tc>
        <w:tc>
          <w:tcPr>
            <w:tcW w:w="1757" w:type="dxa"/>
            <w:tcBorders>
              <w:bottom w:val="single" w:sz="4" w:space="0" w:color="auto"/>
            </w:tcBorders>
            <w:vAlign w:val="center"/>
          </w:tcPr>
          <w:p w14:paraId="542AF14C" w14:textId="77777777" w:rsidR="00076C4A" w:rsidRPr="00FB2906" w:rsidRDefault="00076C4A" w:rsidP="00E435E4">
            <w:pPr>
              <w:spacing w:line="276" w:lineRule="auto"/>
              <w:ind w:right="91"/>
              <w:jc w:val="right"/>
            </w:pPr>
            <w:r w:rsidRPr="00FB2906">
              <w:t>760,032</w:t>
            </w:r>
          </w:p>
        </w:tc>
      </w:tr>
      <w:tr w:rsidR="00076C4A" w:rsidRPr="00FB2906" w14:paraId="465E8377" w14:textId="77777777" w:rsidTr="00E435E4">
        <w:trPr>
          <w:trHeight w:val="340"/>
        </w:trPr>
        <w:tc>
          <w:tcPr>
            <w:tcW w:w="4535" w:type="dxa"/>
            <w:tcBorders>
              <w:top w:val="single" w:sz="4" w:space="0" w:color="auto"/>
              <w:bottom w:val="single" w:sz="4" w:space="0" w:color="auto"/>
            </w:tcBorders>
            <w:vAlign w:val="center"/>
          </w:tcPr>
          <w:p w14:paraId="2744D0EE" w14:textId="77777777" w:rsidR="00076C4A" w:rsidRPr="00FB2906" w:rsidRDefault="00076C4A" w:rsidP="00E435E4">
            <w:pPr>
              <w:spacing w:line="276" w:lineRule="auto"/>
              <w:ind w:right="91"/>
              <w:rPr>
                <w:b/>
              </w:rPr>
            </w:pPr>
            <w:r w:rsidRPr="00FB2906">
              <w:rPr>
                <w:b/>
              </w:rPr>
              <w:t>Total Current Liabilities</w:t>
            </w:r>
          </w:p>
        </w:tc>
        <w:tc>
          <w:tcPr>
            <w:tcW w:w="831" w:type="dxa"/>
            <w:tcBorders>
              <w:top w:val="single" w:sz="4" w:space="0" w:color="auto"/>
              <w:bottom w:val="single" w:sz="4" w:space="0" w:color="auto"/>
            </w:tcBorders>
            <w:vAlign w:val="center"/>
          </w:tcPr>
          <w:p w14:paraId="1610065E" w14:textId="77777777" w:rsidR="00076C4A" w:rsidRPr="00FB2906" w:rsidRDefault="00076C4A" w:rsidP="00E435E4">
            <w:pPr>
              <w:spacing w:line="276" w:lineRule="auto"/>
              <w:ind w:right="91"/>
            </w:pPr>
          </w:p>
        </w:tc>
        <w:tc>
          <w:tcPr>
            <w:tcW w:w="1757" w:type="dxa"/>
            <w:tcBorders>
              <w:top w:val="single" w:sz="4" w:space="0" w:color="auto"/>
              <w:bottom w:val="single" w:sz="2" w:space="0" w:color="auto"/>
            </w:tcBorders>
            <w:vAlign w:val="center"/>
          </w:tcPr>
          <w:p w14:paraId="7FD0F7B2" w14:textId="77777777" w:rsidR="00076C4A" w:rsidRPr="00FB2906" w:rsidRDefault="00076C4A" w:rsidP="00E435E4">
            <w:pPr>
              <w:spacing w:line="276" w:lineRule="auto"/>
              <w:ind w:right="91"/>
              <w:jc w:val="right"/>
            </w:pPr>
            <w:r w:rsidRPr="00FB2906">
              <w:fldChar w:fldCharType="begin"/>
            </w:r>
            <w:r w:rsidRPr="00FB2906">
              <w:instrText xml:space="preserve"> =SUM(ABOVE) \# "#,##0" </w:instrText>
            </w:r>
            <w:r w:rsidRPr="00FB2906">
              <w:fldChar w:fldCharType="separate"/>
            </w:r>
            <w:r w:rsidRPr="00FB2906">
              <w:rPr>
                <w:noProof/>
              </w:rPr>
              <w:t>1,103,</w:t>
            </w:r>
            <w:r w:rsidRPr="00FB2906">
              <w:fldChar w:fldCharType="end"/>
            </w:r>
            <w:r w:rsidRPr="00FB2906">
              <w:t>940</w:t>
            </w:r>
          </w:p>
        </w:tc>
        <w:tc>
          <w:tcPr>
            <w:tcW w:w="1757" w:type="dxa"/>
            <w:tcBorders>
              <w:top w:val="single" w:sz="4" w:space="0" w:color="auto"/>
              <w:bottom w:val="single" w:sz="2" w:space="0" w:color="auto"/>
            </w:tcBorders>
            <w:vAlign w:val="center"/>
          </w:tcPr>
          <w:p w14:paraId="0EBB66AC" w14:textId="77777777" w:rsidR="00076C4A" w:rsidRPr="00FB2906" w:rsidRDefault="00076C4A" w:rsidP="00E435E4">
            <w:pPr>
              <w:spacing w:line="276" w:lineRule="auto"/>
              <w:ind w:right="91"/>
              <w:jc w:val="right"/>
            </w:pPr>
            <w:r w:rsidRPr="00FB2906">
              <w:fldChar w:fldCharType="begin"/>
            </w:r>
            <w:r w:rsidRPr="00FB2906">
              <w:instrText xml:space="preserve"> =SUM(ABOVE) \# "#,##0" </w:instrText>
            </w:r>
            <w:r w:rsidRPr="00FB2906">
              <w:fldChar w:fldCharType="separate"/>
            </w:r>
            <w:r w:rsidRPr="00FB2906">
              <w:rPr>
                <w:noProof/>
              </w:rPr>
              <w:t>1,009,129</w:t>
            </w:r>
            <w:r w:rsidRPr="00FB2906">
              <w:fldChar w:fldCharType="end"/>
            </w:r>
          </w:p>
        </w:tc>
      </w:tr>
      <w:tr w:rsidR="00076C4A" w:rsidRPr="00FB2906" w14:paraId="55F4CD5C" w14:textId="77777777" w:rsidTr="00E435E4">
        <w:trPr>
          <w:trHeight w:val="340"/>
        </w:trPr>
        <w:tc>
          <w:tcPr>
            <w:tcW w:w="4535" w:type="dxa"/>
            <w:tcBorders>
              <w:top w:val="single" w:sz="4" w:space="0" w:color="auto"/>
            </w:tcBorders>
            <w:vAlign w:val="center"/>
          </w:tcPr>
          <w:p w14:paraId="32E641CD" w14:textId="77777777" w:rsidR="00076C4A" w:rsidRPr="00FB2906" w:rsidRDefault="00076C4A" w:rsidP="00E435E4">
            <w:pPr>
              <w:spacing w:line="276" w:lineRule="auto"/>
              <w:ind w:right="91"/>
            </w:pPr>
          </w:p>
        </w:tc>
        <w:tc>
          <w:tcPr>
            <w:tcW w:w="831" w:type="dxa"/>
            <w:tcBorders>
              <w:top w:val="single" w:sz="4" w:space="0" w:color="auto"/>
            </w:tcBorders>
            <w:vAlign w:val="center"/>
          </w:tcPr>
          <w:p w14:paraId="46771995" w14:textId="77777777" w:rsidR="00076C4A" w:rsidRPr="00FB2906" w:rsidRDefault="00076C4A" w:rsidP="00E435E4">
            <w:pPr>
              <w:spacing w:line="276" w:lineRule="auto"/>
              <w:ind w:right="91"/>
            </w:pPr>
          </w:p>
        </w:tc>
        <w:tc>
          <w:tcPr>
            <w:tcW w:w="1757" w:type="dxa"/>
            <w:tcBorders>
              <w:top w:val="single" w:sz="2" w:space="0" w:color="auto"/>
            </w:tcBorders>
            <w:vAlign w:val="center"/>
          </w:tcPr>
          <w:p w14:paraId="621D473D" w14:textId="77777777" w:rsidR="00076C4A" w:rsidRPr="00FB2906" w:rsidRDefault="00076C4A" w:rsidP="00E435E4">
            <w:pPr>
              <w:spacing w:line="276" w:lineRule="auto"/>
              <w:ind w:right="91"/>
              <w:jc w:val="right"/>
            </w:pPr>
          </w:p>
        </w:tc>
        <w:tc>
          <w:tcPr>
            <w:tcW w:w="1757" w:type="dxa"/>
            <w:tcBorders>
              <w:top w:val="single" w:sz="2" w:space="0" w:color="auto"/>
            </w:tcBorders>
            <w:vAlign w:val="center"/>
          </w:tcPr>
          <w:p w14:paraId="1842CE66" w14:textId="77777777" w:rsidR="00076C4A" w:rsidRPr="00FB2906" w:rsidRDefault="00076C4A" w:rsidP="00E435E4">
            <w:pPr>
              <w:spacing w:line="276" w:lineRule="auto"/>
              <w:ind w:right="91"/>
              <w:jc w:val="right"/>
            </w:pPr>
          </w:p>
        </w:tc>
      </w:tr>
      <w:tr w:rsidR="00076C4A" w:rsidRPr="00FB2906" w14:paraId="587EB45E" w14:textId="77777777" w:rsidTr="00E435E4">
        <w:trPr>
          <w:trHeight w:val="340"/>
        </w:trPr>
        <w:tc>
          <w:tcPr>
            <w:tcW w:w="4535" w:type="dxa"/>
            <w:vAlign w:val="center"/>
          </w:tcPr>
          <w:p w14:paraId="2B772601" w14:textId="77777777" w:rsidR="00076C4A" w:rsidRPr="00FB2906" w:rsidRDefault="00076C4A" w:rsidP="00E435E4">
            <w:pPr>
              <w:spacing w:line="276" w:lineRule="auto"/>
              <w:ind w:right="91"/>
              <w:rPr>
                <w:b/>
              </w:rPr>
            </w:pPr>
            <w:r w:rsidRPr="00FB2906">
              <w:rPr>
                <w:b/>
              </w:rPr>
              <w:t>Non-Current Liabilities</w:t>
            </w:r>
          </w:p>
        </w:tc>
        <w:tc>
          <w:tcPr>
            <w:tcW w:w="831" w:type="dxa"/>
            <w:vAlign w:val="center"/>
          </w:tcPr>
          <w:p w14:paraId="14F9B734" w14:textId="77777777" w:rsidR="00076C4A" w:rsidRPr="00FB2906" w:rsidRDefault="00076C4A" w:rsidP="00E435E4">
            <w:pPr>
              <w:spacing w:line="276" w:lineRule="auto"/>
              <w:ind w:right="91"/>
            </w:pPr>
          </w:p>
        </w:tc>
        <w:tc>
          <w:tcPr>
            <w:tcW w:w="1757" w:type="dxa"/>
            <w:vAlign w:val="center"/>
          </w:tcPr>
          <w:p w14:paraId="4AF5FA44" w14:textId="77777777" w:rsidR="00076C4A" w:rsidRPr="00FB2906" w:rsidRDefault="00076C4A" w:rsidP="00E435E4">
            <w:pPr>
              <w:spacing w:line="276" w:lineRule="auto"/>
              <w:ind w:right="91"/>
              <w:jc w:val="right"/>
            </w:pPr>
          </w:p>
        </w:tc>
        <w:tc>
          <w:tcPr>
            <w:tcW w:w="1757" w:type="dxa"/>
            <w:vAlign w:val="center"/>
          </w:tcPr>
          <w:p w14:paraId="598EDB44" w14:textId="77777777" w:rsidR="00076C4A" w:rsidRPr="00FB2906" w:rsidRDefault="00076C4A" w:rsidP="00E435E4">
            <w:pPr>
              <w:spacing w:line="276" w:lineRule="auto"/>
              <w:ind w:right="91"/>
              <w:jc w:val="right"/>
            </w:pPr>
          </w:p>
        </w:tc>
      </w:tr>
      <w:tr w:rsidR="00076C4A" w:rsidRPr="00FB2906" w14:paraId="2F72F877" w14:textId="77777777" w:rsidTr="00E435E4">
        <w:trPr>
          <w:trHeight w:val="340"/>
        </w:trPr>
        <w:tc>
          <w:tcPr>
            <w:tcW w:w="4535" w:type="dxa"/>
            <w:vAlign w:val="center"/>
          </w:tcPr>
          <w:p w14:paraId="0FDA4CDF" w14:textId="77777777" w:rsidR="00076C4A" w:rsidRPr="00FB2906" w:rsidRDefault="00076C4A" w:rsidP="00E435E4">
            <w:pPr>
              <w:spacing w:line="276" w:lineRule="auto"/>
              <w:ind w:right="91"/>
            </w:pPr>
            <w:r w:rsidRPr="00FB2906">
              <w:t>Provisions</w:t>
            </w:r>
          </w:p>
          <w:p w14:paraId="44C3CEDE" w14:textId="77777777" w:rsidR="00076C4A" w:rsidRPr="00FB2906" w:rsidRDefault="00076C4A" w:rsidP="00E435E4">
            <w:pPr>
              <w:spacing w:line="276" w:lineRule="auto"/>
              <w:ind w:right="91"/>
            </w:pPr>
            <w:r w:rsidRPr="00FB2906">
              <w:t>ROU Asset Liability</w:t>
            </w:r>
          </w:p>
        </w:tc>
        <w:tc>
          <w:tcPr>
            <w:tcW w:w="831" w:type="dxa"/>
            <w:vAlign w:val="center"/>
          </w:tcPr>
          <w:p w14:paraId="26E3FBE8" w14:textId="77777777" w:rsidR="00076C4A" w:rsidRPr="00FB2906" w:rsidRDefault="00076C4A" w:rsidP="00E435E4">
            <w:pPr>
              <w:spacing w:line="276" w:lineRule="auto"/>
              <w:ind w:right="91"/>
            </w:pPr>
          </w:p>
        </w:tc>
        <w:tc>
          <w:tcPr>
            <w:tcW w:w="1757" w:type="dxa"/>
            <w:vAlign w:val="center"/>
          </w:tcPr>
          <w:p w14:paraId="1343C448" w14:textId="77777777" w:rsidR="00076C4A" w:rsidRPr="00FB2906" w:rsidRDefault="00076C4A" w:rsidP="00E435E4">
            <w:pPr>
              <w:spacing w:line="276" w:lineRule="auto"/>
              <w:ind w:right="91"/>
              <w:jc w:val="right"/>
            </w:pPr>
            <w:r w:rsidRPr="00FB2906">
              <w:t>28,158</w:t>
            </w:r>
          </w:p>
          <w:p w14:paraId="29CDBF32" w14:textId="77777777" w:rsidR="00076C4A" w:rsidRPr="00FB2906" w:rsidRDefault="00076C4A" w:rsidP="00E435E4">
            <w:pPr>
              <w:spacing w:line="276" w:lineRule="auto"/>
              <w:ind w:right="91"/>
              <w:jc w:val="right"/>
            </w:pPr>
            <w:r w:rsidRPr="00FB2906">
              <w:t>120,552</w:t>
            </w:r>
          </w:p>
        </w:tc>
        <w:tc>
          <w:tcPr>
            <w:tcW w:w="1757" w:type="dxa"/>
            <w:vAlign w:val="center"/>
          </w:tcPr>
          <w:p w14:paraId="552CAE1D" w14:textId="77777777" w:rsidR="00076C4A" w:rsidRPr="00FB2906" w:rsidRDefault="00076C4A" w:rsidP="00E435E4">
            <w:pPr>
              <w:spacing w:line="276" w:lineRule="auto"/>
              <w:ind w:right="91"/>
              <w:jc w:val="right"/>
            </w:pPr>
            <w:r w:rsidRPr="00FB2906">
              <w:t>28,158</w:t>
            </w:r>
          </w:p>
          <w:p w14:paraId="2E207D48" w14:textId="77777777" w:rsidR="00076C4A" w:rsidRPr="00FB2906" w:rsidRDefault="00076C4A" w:rsidP="00E435E4">
            <w:pPr>
              <w:spacing w:line="276" w:lineRule="auto"/>
              <w:ind w:right="91"/>
              <w:jc w:val="right"/>
            </w:pPr>
            <w:r w:rsidRPr="00FB2906">
              <w:t>0</w:t>
            </w:r>
          </w:p>
        </w:tc>
      </w:tr>
      <w:tr w:rsidR="00076C4A" w:rsidRPr="00FB2906" w14:paraId="5F48A4B6" w14:textId="77777777" w:rsidTr="00E435E4">
        <w:trPr>
          <w:trHeight w:val="340"/>
        </w:trPr>
        <w:tc>
          <w:tcPr>
            <w:tcW w:w="4535" w:type="dxa"/>
            <w:vAlign w:val="center"/>
          </w:tcPr>
          <w:p w14:paraId="68B2C7BE" w14:textId="77777777" w:rsidR="00076C4A" w:rsidRPr="00FB2906" w:rsidRDefault="00076C4A" w:rsidP="00E435E4">
            <w:pPr>
              <w:spacing w:line="276" w:lineRule="auto"/>
              <w:ind w:right="91"/>
            </w:pPr>
            <w:r w:rsidRPr="00FB2906">
              <w:t>Employee benefit liability</w:t>
            </w:r>
          </w:p>
        </w:tc>
        <w:tc>
          <w:tcPr>
            <w:tcW w:w="831" w:type="dxa"/>
            <w:vAlign w:val="center"/>
          </w:tcPr>
          <w:p w14:paraId="2DA5AE0C" w14:textId="77777777" w:rsidR="00076C4A" w:rsidRPr="00FB2906" w:rsidRDefault="00076C4A" w:rsidP="00E435E4">
            <w:pPr>
              <w:spacing w:line="276" w:lineRule="auto"/>
              <w:ind w:right="91"/>
            </w:pPr>
          </w:p>
        </w:tc>
        <w:tc>
          <w:tcPr>
            <w:tcW w:w="1757" w:type="dxa"/>
            <w:vAlign w:val="center"/>
          </w:tcPr>
          <w:p w14:paraId="4812DD06" w14:textId="77777777" w:rsidR="00076C4A" w:rsidRPr="00FB2906" w:rsidRDefault="00076C4A" w:rsidP="00E435E4">
            <w:pPr>
              <w:spacing w:line="276" w:lineRule="auto"/>
              <w:ind w:right="91"/>
              <w:jc w:val="right"/>
            </w:pPr>
            <w:r w:rsidRPr="00FB2906">
              <w:t>14,133</w:t>
            </w:r>
          </w:p>
        </w:tc>
        <w:tc>
          <w:tcPr>
            <w:tcW w:w="1757" w:type="dxa"/>
            <w:vAlign w:val="center"/>
          </w:tcPr>
          <w:p w14:paraId="16B600C8" w14:textId="77777777" w:rsidR="00076C4A" w:rsidRPr="00FB2906" w:rsidRDefault="00076C4A" w:rsidP="00E435E4">
            <w:pPr>
              <w:spacing w:line="276" w:lineRule="auto"/>
              <w:ind w:right="91"/>
              <w:jc w:val="right"/>
            </w:pPr>
            <w:r w:rsidRPr="00FB2906">
              <w:t>56,078</w:t>
            </w:r>
          </w:p>
        </w:tc>
      </w:tr>
      <w:tr w:rsidR="00076C4A" w:rsidRPr="00FB2906" w14:paraId="155434F6" w14:textId="77777777" w:rsidTr="00E435E4">
        <w:trPr>
          <w:trHeight w:val="340"/>
        </w:trPr>
        <w:tc>
          <w:tcPr>
            <w:tcW w:w="4535" w:type="dxa"/>
            <w:tcBorders>
              <w:top w:val="single" w:sz="4" w:space="0" w:color="auto"/>
              <w:bottom w:val="single" w:sz="4" w:space="0" w:color="auto"/>
            </w:tcBorders>
            <w:vAlign w:val="center"/>
          </w:tcPr>
          <w:p w14:paraId="00E3D2D5" w14:textId="77777777" w:rsidR="00076C4A" w:rsidRPr="00FB2906" w:rsidRDefault="00076C4A" w:rsidP="00E435E4">
            <w:pPr>
              <w:spacing w:line="276" w:lineRule="auto"/>
              <w:ind w:right="91"/>
              <w:rPr>
                <w:b/>
              </w:rPr>
            </w:pPr>
            <w:r w:rsidRPr="00FB2906">
              <w:rPr>
                <w:b/>
              </w:rPr>
              <w:t>Total Non-Current Liabilities</w:t>
            </w:r>
          </w:p>
        </w:tc>
        <w:tc>
          <w:tcPr>
            <w:tcW w:w="831" w:type="dxa"/>
            <w:tcBorders>
              <w:top w:val="single" w:sz="4" w:space="0" w:color="auto"/>
              <w:bottom w:val="single" w:sz="4" w:space="0" w:color="auto"/>
            </w:tcBorders>
            <w:vAlign w:val="center"/>
          </w:tcPr>
          <w:p w14:paraId="3F1BDA65" w14:textId="77777777" w:rsidR="00076C4A" w:rsidRPr="00FB2906" w:rsidRDefault="00076C4A" w:rsidP="00E435E4">
            <w:pPr>
              <w:spacing w:line="276" w:lineRule="auto"/>
              <w:ind w:right="91"/>
            </w:pPr>
          </w:p>
        </w:tc>
        <w:tc>
          <w:tcPr>
            <w:tcW w:w="1757" w:type="dxa"/>
            <w:tcBorders>
              <w:top w:val="single" w:sz="4" w:space="0" w:color="auto"/>
              <w:bottom w:val="single" w:sz="2" w:space="0" w:color="auto"/>
            </w:tcBorders>
            <w:vAlign w:val="center"/>
          </w:tcPr>
          <w:p w14:paraId="2A962431" w14:textId="77777777" w:rsidR="00076C4A" w:rsidRPr="00FB2906" w:rsidRDefault="00076C4A" w:rsidP="00E435E4">
            <w:pPr>
              <w:spacing w:line="276" w:lineRule="auto"/>
              <w:ind w:right="91"/>
              <w:jc w:val="right"/>
            </w:pPr>
            <w:r w:rsidRPr="00FB2906">
              <w:t>162,843</w:t>
            </w:r>
          </w:p>
        </w:tc>
        <w:tc>
          <w:tcPr>
            <w:tcW w:w="1757" w:type="dxa"/>
            <w:tcBorders>
              <w:top w:val="single" w:sz="4" w:space="0" w:color="auto"/>
              <w:bottom w:val="single" w:sz="2" w:space="0" w:color="auto"/>
            </w:tcBorders>
            <w:vAlign w:val="center"/>
          </w:tcPr>
          <w:p w14:paraId="5CF74663" w14:textId="77777777" w:rsidR="00076C4A" w:rsidRPr="00FB2906" w:rsidRDefault="00076C4A" w:rsidP="00E435E4">
            <w:pPr>
              <w:spacing w:line="276" w:lineRule="auto"/>
              <w:ind w:right="91"/>
              <w:jc w:val="right"/>
            </w:pPr>
            <w:r w:rsidRPr="00FB2906">
              <w:fldChar w:fldCharType="begin"/>
            </w:r>
            <w:r w:rsidRPr="00FB2906">
              <w:instrText xml:space="preserve"> =SUM(ABOVE) </w:instrText>
            </w:r>
            <w:r w:rsidRPr="00FB2906">
              <w:fldChar w:fldCharType="separate"/>
            </w:r>
            <w:r w:rsidRPr="00FB2906">
              <w:rPr>
                <w:noProof/>
              </w:rPr>
              <w:t>84,236</w:t>
            </w:r>
            <w:r w:rsidRPr="00FB2906">
              <w:fldChar w:fldCharType="end"/>
            </w:r>
          </w:p>
        </w:tc>
      </w:tr>
      <w:tr w:rsidR="00076C4A" w:rsidRPr="00FB2906" w14:paraId="559196CE" w14:textId="77777777" w:rsidTr="00E435E4">
        <w:trPr>
          <w:trHeight w:val="419"/>
        </w:trPr>
        <w:tc>
          <w:tcPr>
            <w:tcW w:w="4535" w:type="dxa"/>
            <w:tcBorders>
              <w:top w:val="single" w:sz="4" w:space="0" w:color="auto"/>
              <w:bottom w:val="single" w:sz="12" w:space="0" w:color="auto"/>
            </w:tcBorders>
            <w:vAlign w:val="center"/>
          </w:tcPr>
          <w:p w14:paraId="5A80718B" w14:textId="77777777" w:rsidR="00076C4A" w:rsidRPr="00FB2906" w:rsidRDefault="00076C4A" w:rsidP="00E435E4">
            <w:pPr>
              <w:spacing w:line="276" w:lineRule="auto"/>
              <w:ind w:right="91"/>
              <w:rPr>
                <w:b/>
              </w:rPr>
            </w:pPr>
            <w:r w:rsidRPr="00FB2906">
              <w:rPr>
                <w:b/>
              </w:rPr>
              <w:t>Total Liabilities</w:t>
            </w:r>
          </w:p>
        </w:tc>
        <w:tc>
          <w:tcPr>
            <w:tcW w:w="831" w:type="dxa"/>
            <w:tcBorders>
              <w:top w:val="single" w:sz="4" w:space="0" w:color="auto"/>
              <w:bottom w:val="single" w:sz="12" w:space="0" w:color="auto"/>
            </w:tcBorders>
            <w:vAlign w:val="center"/>
          </w:tcPr>
          <w:p w14:paraId="0C90D9D6" w14:textId="77777777" w:rsidR="00076C4A" w:rsidRPr="00FB2906" w:rsidRDefault="00076C4A" w:rsidP="00E435E4">
            <w:pPr>
              <w:spacing w:line="276" w:lineRule="auto"/>
              <w:ind w:right="91"/>
            </w:pPr>
          </w:p>
        </w:tc>
        <w:tc>
          <w:tcPr>
            <w:tcW w:w="1757" w:type="dxa"/>
            <w:tcBorders>
              <w:top w:val="single" w:sz="2" w:space="0" w:color="auto"/>
              <w:bottom w:val="single" w:sz="12" w:space="0" w:color="auto"/>
            </w:tcBorders>
            <w:vAlign w:val="center"/>
          </w:tcPr>
          <w:p w14:paraId="2C018F48" w14:textId="77777777" w:rsidR="00076C4A" w:rsidRPr="00FB2906" w:rsidRDefault="00076C4A" w:rsidP="00E435E4">
            <w:pPr>
              <w:spacing w:line="276" w:lineRule="auto"/>
              <w:ind w:right="91"/>
              <w:jc w:val="right"/>
            </w:pPr>
            <w:r w:rsidRPr="00FB2906">
              <w:t>1,266,783</w:t>
            </w:r>
          </w:p>
        </w:tc>
        <w:tc>
          <w:tcPr>
            <w:tcW w:w="1757" w:type="dxa"/>
            <w:tcBorders>
              <w:top w:val="single" w:sz="2" w:space="0" w:color="auto"/>
              <w:bottom w:val="single" w:sz="12" w:space="0" w:color="auto"/>
            </w:tcBorders>
            <w:vAlign w:val="center"/>
          </w:tcPr>
          <w:p w14:paraId="52E27AE5" w14:textId="77777777" w:rsidR="00076C4A" w:rsidRPr="00FB2906" w:rsidRDefault="00076C4A" w:rsidP="00E435E4">
            <w:pPr>
              <w:spacing w:line="276" w:lineRule="auto"/>
              <w:ind w:right="91"/>
              <w:jc w:val="right"/>
            </w:pPr>
            <w:r w:rsidRPr="00FB2906">
              <w:fldChar w:fldCharType="begin"/>
            </w:r>
            <w:r w:rsidRPr="00FB2906">
              <w:instrText xml:space="preserve"> =c20+c25 \# "#,##0" </w:instrText>
            </w:r>
            <w:r w:rsidRPr="00FB2906">
              <w:fldChar w:fldCharType="separate"/>
            </w:r>
            <w:r w:rsidRPr="00FB2906">
              <w:rPr>
                <w:noProof/>
              </w:rPr>
              <w:t>1,093,365</w:t>
            </w:r>
            <w:r w:rsidRPr="00FB2906">
              <w:fldChar w:fldCharType="end"/>
            </w:r>
          </w:p>
        </w:tc>
      </w:tr>
      <w:tr w:rsidR="00076C4A" w:rsidRPr="00FB2906" w14:paraId="39B87D3A" w14:textId="77777777" w:rsidTr="00E435E4">
        <w:trPr>
          <w:trHeight w:val="340"/>
        </w:trPr>
        <w:tc>
          <w:tcPr>
            <w:tcW w:w="4535" w:type="dxa"/>
            <w:tcBorders>
              <w:top w:val="single" w:sz="12" w:space="0" w:color="auto"/>
              <w:bottom w:val="single" w:sz="12" w:space="0" w:color="auto"/>
            </w:tcBorders>
            <w:vAlign w:val="center"/>
          </w:tcPr>
          <w:p w14:paraId="4D534117" w14:textId="77777777" w:rsidR="00076C4A" w:rsidRPr="00FB2906" w:rsidRDefault="00076C4A" w:rsidP="00E435E4">
            <w:pPr>
              <w:spacing w:line="276" w:lineRule="auto"/>
              <w:ind w:right="91"/>
              <w:rPr>
                <w:b/>
              </w:rPr>
            </w:pPr>
            <w:r w:rsidRPr="00FB2906">
              <w:rPr>
                <w:b/>
              </w:rPr>
              <w:t>NET ASSETS</w:t>
            </w:r>
          </w:p>
        </w:tc>
        <w:tc>
          <w:tcPr>
            <w:tcW w:w="831" w:type="dxa"/>
            <w:tcBorders>
              <w:top w:val="single" w:sz="12" w:space="0" w:color="auto"/>
              <w:bottom w:val="single" w:sz="12" w:space="0" w:color="auto"/>
            </w:tcBorders>
            <w:vAlign w:val="center"/>
          </w:tcPr>
          <w:p w14:paraId="0DF4EA8C" w14:textId="77777777" w:rsidR="00076C4A" w:rsidRPr="00FB2906" w:rsidRDefault="00076C4A" w:rsidP="00E435E4">
            <w:pPr>
              <w:spacing w:line="276" w:lineRule="auto"/>
              <w:ind w:right="91"/>
            </w:pPr>
          </w:p>
        </w:tc>
        <w:tc>
          <w:tcPr>
            <w:tcW w:w="1757" w:type="dxa"/>
            <w:tcBorders>
              <w:top w:val="single" w:sz="12" w:space="0" w:color="auto"/>
              <w:bottom w:val="single" w:sz="12" w:space="0" w:color="auto"/>
            </w:tcBorders>
            <w:vAlign w:val="center"/>
          </w:tcPr>
          <w:p w14:paraId="07D6B283" w14:textId="77777777" w:rsidR="00076C4A" w:rsidRPr="00FB2906" w:rsidRDefault="00076C4A" w:rsidP="00E435E4">
            <w:pPr>
              <w:spacing w:line="276" w:lineRule="auto"/>
              <w:ind w:right="91"/>
              <w:jc w:val="right"/>
            </w:pPr>
            <w:r w:rsidRPr="00FB2906">
              <w:t>593,779</w:t>
            </w:r>
          </w:p>
        </w:tc>
        <w:tc>
          <w:tcPr>
            <w:tcW w:w="1757" w:type="dxa"/>
            <w:tcBorders>
              <w:top w:val="single" w:sz="12" w:space="0" w:color="auto"/>
              <w:bottom w:val="single" w:sz="12" w:space="0" w:color="auto"/>
            </w:tcBorders>
            <w:vAlign w:val="center"/>
          </w:tcPr>
          <w:p w14:paraId="528B012A" w14:textId="77777777" w:rsidR="00076C4A" w:rsidRPr="00FB2906" w:rsidRDefault="00076C4A" w:rsidP="00E435E4">
            <w:pPr>
              <w:spacing w:line="276" w:lineRule="auto"/>
              <w:ind w:right="91"/>
              <w:jc w:val="right"/>
            </w:pPr>
            <w:r w:rsidRPr="00FB2906">
              <w:fldChar w:fldCharType="begin"/>
            </w:r>
            <w:r w:rsidRPr="00FB2906">
              <w:instrText xml:space="preserve"> =c13-c26 \# "#,##0" </w:instrText>
            </w:r>
            <w:r w:rsidRPr="00FB2906">
              <w:fldChar w:fldCharType="separate"/>
            </w:r>
            <w:r w:rsidRPr="00FB2906">
              <w:rPr>
                <w:noProof/>
              </w:rPr>
              <w:t>467,598</w:t>
            </w:r>
            <w:r w:rsidRPr="00FB2906">
              <w:fldChar w:fldCharType="end"/>
            </w:r>
          </w:p>
        </w:tc>
      </w:tr>
      <w:tr w:rsidR="00076C4A" w:rsidRPr="00FB2906" w14:paraId="30C0A51A" w14:textId="77777777" w:rsidTr="00E435E4">
        <w:trPr>
          <w:trHeight w:val="397"/>
        </w:trPr>
        <w:tc>
          <w:tcPr>
            <w:tcW w:w="4535" w:type="dxa"/>
            <w:tcBorders>
              <w:top w:val="single" w:sz="12" w:space="0" w:color="auto"/>
            </w:tcBorders>
            <w:vAlign w:val="center"/>
          </w:tcPr>
          <w:p w14:paraId="75A8F328" w14:textId="77777777" w:rsidR="00076C4A" w:rsidRPr="00FB2906" w:rsidRDefault="00076C4A" w:rsidP="00E435E4">
            <w:pPr>
              <w:spacing w:line="276" w:lineRule="auto"/>
              <w:ind w:right="91"/>
              <w:rPr>
                <w:b/>
              </w:rPr>
            </w:pPr>
            <w:r w:rsidRPr="00FB2906">
              <w:rPr>
                <w:b/>
              </w:rPr>
              <w:t>Equity</w:t>
            </w:r>
          </w:p>
        </w:tc>
        <w:tc>
          <w:tcPr>
            <w:tcW w:w="831" w:type="dxa"/>
            <w:tcBorders>
              <w:top w:val="single" w:sz="12" w:space="0" w:color="auto"/>
            </w:tcBorders>
            <w:vAlign w:val="center"/>
          </w:tcPr>
          <w:p w14:paraId="6D85449B" w14:textId="77777777" w:rsidR="00076C4A" w:rsidRPr="00FB2906" w:rsidRDefault="00076C4A" w:rsidP="00E435E4">
            <w:pPr>
              <w:spacing w:line="276" w:lineRule="auto"/>
              <w:ind w:right="91"/>
            </w:pPr>
          </w:p>
        </w:tc>
        <w:tc>
          <w:tcPr>
            <w:tcW w:w="1757" w:type="dxa"/>
            <w:tcBorders>
              <w:top w:val="single" w:sz="12" w:space="0" w:color="auto"/>
            </w:tcBorders>
            <w:vAlign w:val="center"/>
          </w:tcPr>
          <w:p w14:paraId="2CA5F0E9" w14:textId="77777777" w:rsidR="00076C4A" w:rsidRPr="00FB2906" w:rsidRDefault="00076C4A" w:rsidP="00E435E4">
            <w:pPr>
              <w:spacing w:line="276" w:lineRule="auto"/>
              <w:ind w:right="91"/>
              <w:jc w:val="right"/>
            </w:pPr>
          </w:p>
        </w:tc>
        <w:tc>
          <w:tcPr>
            <w:tcW w:w="1757" w:type="dxa"/>
            <w:tcBorders>
              <w:top w:val="single" w:sz="12" w:space="0" w:color="auto"/>
            </w:tcBorders>
            <w:vAlign w:val="center"/>
          </w:tcPr>
          <w:p w14:paraId="7517E532" w14:textId="77777777" w:rsidR="00076C4A" w:rsidRPr="00FB2906" w:rsidRDefault="00076C4A" w:rsidP="00E435E4">
            <w:pPr>
              <w:spacing w:line="276" w:lineRule="auto"/>
              <w:ind w:right="91"/>
              <w:jc w:val="right"/>
            </w:pPr>
          </w:p>
        </w:tc>
      </w:tr>
      <w:tr w:rsidR="00076C4A" w:rsidRPr="00FB2906" w14:paraId="5EF33795" w14:textId="77777777" w:rsidTr="00E435E4">
        <w:trPr>
          <w:trHeight w:val="340"/>
        </w:trPr>
        <w:tc>
          <w:tcPr>
            <w:tcW w:w="4535" w:type="dxa"/>
            <w:vAlign w:val="center"/>
          </w:tcPr>
          <w:p w14:paraId="698AACB0" w14:textId="77777777" w:rsidR="00076C4A" w:rsidRPr="00FB2906" w:rsidRDefault="00076C4A" w:rsidP="00E435E4">
            <w:pPr>
              <w:spacing w:line="276" w:lineRule="auto"/>
              <w:ind w:right="91"/>
            </w:pPr>
            <w:r w:rsidRPr="00FB2906">
              <w:t>Retained surplus</w:t>
            </w:r>
          </w:p>
        </w:tc>
        <w:tc>
          <w:tcPr>
            <w:tcW w:w="831" w:type="dxa"/>
            <w:vAlign w:val="center"/>
          </w:tcPr>
          <w:p w14:paraId="080FB867" w14:textId="77777777" w:rsidR="00076C4A" w:rsidRPr="00FB2906" w:rsidRDefault="00076C4A" w:rsidP="00E435E4">
            <w:pPr>
              <w:spacing w:line="276" w:lineRule="auto"/>
              <w:ind w:right="91"/>
            </w:pPr>
          </w:p>
        </w:tc>
        <w:tc>
          <w:tcPr>
            <w:tcW w:w="1757" w:type="dxa"/>
            <w:vAlign w:val="center"/>
          </w:tcPr>
          <w:p w14:paraId="5E220070" w14:textId="77777777" w:rsidR="00076C4A" w:rsidRPr="00FB2906" w:rsidRDefault="00076C4A" w:rsidP="00E435E4">
            <w:pPr>
              <w:spacing w:line="276" w:lineRule="auto"/>
              <w:ind w:right="91"/>
              <w:jc w:val="right"/>
            </w:pPr>
            <w:r w:rsidRPr="00FB2906">
              <w:t>593,779</w:t>
            </w:r>
          </w:p>
        </w:tc>
        <w:tc>
          <w:tcPr>
            <w:tcW w:w="1757" w:type="dxa"/>
            <w:vAlign w:val="center"/>
          </w:tcPr>
          <w:p w14:paraId="5977AB4B" w14:textId="77777777" w:rsidR="00076C4A" w:rsidRPr="00FB2906" w:rsidRDefault="00076C4A" w:rsidP="00E435E4">
            <w:pPr>
              <w:spacing w:line="276" w:lineRule="auto"/>
              <w:ind w:right="91"/>
              <w:jc w:val="right"/>
            </w:pPr>
            <w:r w:rsidRPr="00FB2906">
              <w:t>467,598</w:t>
            </w:r>
          </w:p>
        </w:tc>
      </w:tr>
      <w:tr w:rsidR="00076C4A" w:rsidRPr="00FB2906" w14:paraId="612E6980" w14:textId="77777777" w:rsidTr="00E435E4">
        <w:trPr>
          <w:trHeight w:val="340"/>
        </w:trPr>
        <w:tc>
          <w:tcPr>
            <w:tcW w:w="4535" w:type="dxa"/>
            <w:tcBorders>
              <w:bottom w:val="single" w:sz="12" w:space="0" w:color="auto"/>
            </w:tcBorders>
            <w:vAlign w:val="center"/>
          </w:tcPr>
          <w:p w14:paraId="33A83914" w14:textId="77777777" w:rsidR="00076C4A" w:rsidRPr="00FB2906" w:rsidRDefault="00076C4A" w:rsidP="00E435E4">
            <w:pPr>
              <w:spacing w:line="276" w:lineRule="auto"/>
              <w:ind w:right="91"/>
              <w:rPr>
                <w:b/>
              </w:rPr>
            </w:pPr>
            <w:r w:rsidRPr="00FB2906">
              <w:rPr>
                <w:b/>
              </w:rPr>
              <w:t>Total equity</w:t>
            </w:r>
          </w:p>
        </w:tc>
        <w:tc>
          <w:tcPr>
            <w:tcW w:w="831" w:type="dxa"/>
            <w:tcBorders>
              <w:bottom w:val="single" w:sz="12" w:space="0" w:color="auto"/>
            </w:tcBorders>
            <w:vAlign w:val="center"/>
          </w:tcPr>
          <w:p w14:paraId="57A287F6" w14:textId="77777777" w:rsidR="00076C4A" w:rsidRPr="00FB2906" w:rsidRDefault="00076C4A" w:rsidP="00E435E4">
            <w:pPr>
              <w:spacing w:line="276" w:lineRule="auto"/>
              <w:ind w:right="91"/>
            </w:pPr>
          </w:p>
        </w:tc>
        <w:tc>
          <w:tcPr>
            <w:tcW w:w="1757" w:type="dxa"/>
            <w:tcBorders>
              <w:bottom w:val="single" w:sz="12" w:space="0" w:color="auto"/>
            </w:tcBorders>
            <w:vAlign w:val="center"/>
          </w:tcPr>
          <w:p w14:paraId="1146BE17" w14:textId="77777777" w:rsidR="00076C4A" w:rsidRPr="00FB2906" w:rsidRDefault="00076C4A" w:rsidP="00E435E4">
            <w:pPr>
              <w:spacing w:line="276" w:lineRule="auto"/>
              <w:ind w:right="91"/>
              <w:jc w:val="right"/>
            </w:pPr>
            <w:r w:rsidRPr="00FB2906">
              <w:t>593,779</w:t>
            </w:r>
          </w:p>
        </w:tc>
        <w:tc>
          <w:tcPr>
            <w:tcW w:w="1757" w:type="dxa"/>
            <w:tcBorders>
              <w:bottom w:val="single" w:sz="12" w:space="0" w:color="auto"/>
            </w:tcBorders>
            <w:vAlign w:val="center"/>
          </w:tcPr>
          <w:p w14:paraId="61F72409" w14:textId="77777777" w:rsidR="00076C4A" w:rsidRPr="00FB2906" w:rsidRDefault="00076C4A" w:rsidP="00E435E4">
            <w:pPr>
              <w:spacing w:line="276" w:lineRule="auto"/>
              <w:ind w:right="91"/>
              <w:jc w:val="right"/>
            </w:pPr>
            <w:r w:rsidRPr="00FB2906">
              <w:t>467,598</w:t>
            </w:r>
          </w:p>
        </w:tc>
      </w:tr>
    </w:tbl>
    <w:p w14:paraId="4C92337C" w14:textId="77777777" w:rsidR="00076C4A" w:rsidRPr="00FB2906" w:rsidRDefault="00076C4A" w:rsidP="00076C4A">
      <w:pPr>
        <w:pStyle w:val="HeaderTOC"/>
        <w:spacing w:before="100" w:beforeAutospacing="1" w:after="100" w:afterAutospacing="1" w:line="276" w:lineRule="auto"/>
        <w:rPr>
          <w:rFonts w:ascii="Roboto" w:hAnsi="Roboto"/>
          <w:b w:val="0"/>
          <w:sz w:val="22"/>
          <w:szCs w:val="22"/>
          <w:lang w:val="en-AU"/>
        </w:rPr>
        <w:sectPr w:rsidR="00076C4A" w:rsidRPr="00FB2906" w:rsidSect="005C624C">
          <w:headerReference w:type="default" r:id="rId19"/>
          <w:footerReference w:type="default" r:id="rId20"/>
          <w:pgSz w:w="11906" w:h="16838"/>
          <w:pgMar w:top="1418" w:right="1134" w:bottom="851" w:left="1418" w:header="709" w:footer="203" w:gutter="0"/>
          <w:cols w:space="708"/>
          <w:docGrid w:linePitch="360"/>
        </w:sectPr>
      </w:pPr>
    </w:p>
    <w:p w14:paraId="398A4C38" w14:textId="77777777" w:rsidR="00076C4A" w:rsidRPr="00FB2906" w:rsidRDefault="00076C4A" w:rsidP="00076C4A">
      <w:pPr>
        <w:pStyle w:val="Heading1"/>
        <w:spacing w:line="276" w:lineRule="auto"/>
      </w:pPr>
      <w:r w:rsidRPr="00FB2906">
        <w:br w:type="page"/>
      </w:r>
      <w:bookmarkStart w:id="13" w:name="_Toc237075423"/>
      <w:r w:rsidRPr="00FB2906">
        <w:lastRenderedPageBreak/>
        <w:t xml:space="preserve">Statement of </w:t>
      </w:r>
      <w:bookmarkEnd w:id="13"/>
      <w:r w:rsidRPr="00FB2906">
        <w:t>Changes in Equity</w:t>
      </w:r>
    </w:p>
    <w:p w14:paraId="099AC6EE" w14:textId="77777777" w:rsidR="00076C4A" w:rsidRPr="00FB2906" w:rsidRDefault="00076C4A" w:rsidP="00076C4A">
      <w:pPr>
        <w:spacing w:line="276" w:lineRule="auto"/>
        <w:rPr>
          <w:b/>
          <w:color w:val="595959" w:themeColor="text1" w:themeTint="A6"/>
        </w:rPr>
      </w:pPr>
      <w:bookmarkStart w:id="14" w:name="_Toc205972942"/>
      <w:r w:rsidRPr="00FB2906">
        <w:rPr>
          <w:b/>
          <w:color w:val="595959" w:themeColor="text1" w:themeTint="A6"/>
        </w:rPr>
        <w:t>For the year ended 30 June 20</w:t>
      </w:r>
      <w:bookmarkEnd w:id="14"/>
      <w:r w:rsidRPr="00FB2906">
        <w:rPr>
          <w:b/>
          <w:color w:val="595959" w:themeColor="text1" w:themeTint="A6"/>
        </w:rPr>
        <w:t>20</w:t>
      </w:r>
    </w:p>
    <w:tbl>
      <w:tblPr>
        <w:tblW w:w="5000" w:type="pct"/>
        <w:tblCellMar>
          <w:top w:w="51" w:type="dxa"/>
          <w:left w:w="107" w:type="dxa"/>
          <w:bottom w:w="51" w:type="dxa"/>
          <w:right w:w="107" w:type="dxa"/>
        </w:tblCellMar>
        <w:tblLook w:val="0000" w:firstRow="0" w:lastRow="0" w:firstColumn="0" w:lastColumn="0" w:noHBand="0" w:noVBand="0"/>
      </w:tblPr>
      <w:tblGrid>
        <w:gridCol w:w="5794"/>
        <w:gridCol w:w="1618"/>
        <w:gridCol w:w="324"/>
        <w:gridCol w:w="1618"/>
      </w:tblGrid>
      <w:tr w:rsidR="00076C4A" w:rsidRPr="00FB2906" w14:paraId="30BBFB06" w14:textId="77777777" w:rsidTr="00E435E4">
        <w:tc>
          <w:tcPr>
            <w:tcW w:w="3097" w:type="pct"/>
          </w:tcPr>
          <w:p w14:paraId="11CE4FFC" w14:textId="77777777" w:rsidR="00076C4A" w:rsidRPr="00FB2906" w:rsidRDefault="00076C4A" w:rsidP="00E435E4">
            <w:pPr>
              <w:spacing w:line="276" w:lineRule="auto"/>
              <w:ind w:firstLineChars="300" w:firstLine="660"/>
              <w:rPr>
                <w:rFonts w:cs="Arial"/>
                <w:sz w:val="22"/>
                <w:szCs w:val="22"/>
              </w:rPr>
            </w:pPr>
          </w:p>
        </w:tc>
        <w:tc>
          <w:tcPr>
            <w:tcW w:w="865" w:type="pct"/>
          </w:tcPr>
          <w:p w14:paraId="32DF40E0" w14:textId="77777777" w:rsidR="00076C4A" w:rsidRPr="00FB2906" w:rsidRDefault="00076C4A" w:rsidP="00E435E4">
            <w:pPr>
              <w:spacing w:line="276" w:lineRule="auto"/>
              <w:jc w:val="center"/>
              <w:rPr>
                <w:rFonts w:cs="Arial"/>
                <w:b/>
                <w:bCs/>
                <w:sz w:val="22"/>
                <w:szCs w:val="22"/>
              </w:rPr>
            </w:pPr>
            <w:r w:rsidRPr="00FB2906">
              <w:rPr>
                <w:rFonts w:cs="Arial"/>
                <w:b/>
                <w:bCs/>
                <w:sz w:val="22"/>
                <w:szCs w:val="22"/>
              </w:rPr>
              <w:t xml:space="preserve">                 2020</w:t>
            </w:r>
          </w:p>
          <w:p w14:paraId="39C8B268" w14:textId="77777777" w:rsidR="00076C4A" w:rsidRPr="00FB2906" w:rsidRDefault="00076C4A" w:rsidP="00E435E4">
            <w:pPr>
              <w:spacing w:line="276" w:lineRule="auto"/>
              <w:jc w:val="center"/>
              <w:rPr>
                <w:rFonts w:cs="Arial"/>
                <w:b/>
                <w:bCs/>
                <w:sz w:val="22"/>
                <w:szCs w:val="22"/>
              </w:rPr>
            </w:pPr>
            <w:r w:rsidRPr="00FB2906">
              <w:rPr>
                <w:rFonts w:cs="Arial"/>
                <w:b/>
                <w:bCs/>
                <w:sz w:val="22"/>
                <w:szCs w:val="22"/>
              </w:rPr>
              <w:t xml:space="preserve">                       $</w:t>
            </w:r>
          </w:p>
        </w:tc>
        <w:tc>
          <w:tcPr>
            <w:tcW w:w="173" w:type="pct"/>
          </w:tcPr>
          <w:p w14:paraId="6371223C" w14:textId="77777777" w:rsidR="00076C4A" w:rsidRPr="00FB2906" w:rsidRDefault="00076C4A" w:rsidP="00E435E4">
            <w:pPr>
              <w:spacing w:line="276" w:lineRule="auto"/>
              <w:jc w:val="right"/>
              <w:rPr>
                <w:rFonts w:cs="Arial"/>
                <w:b/>
                <w:bCs/>
                <w:sz w:val="22"/>
                <w:szCs w:val="22"/>
              </w:rPr>
            </w:pPr>
          </w:p>
        </w:tc>
        <w:tc>
          <w:tcPr>
            <w:tcW w:w="865" w:type="pct"/>
          </w:tcPr>
          <w:p w14:paraId="063B4B91" w14:textId="77777777" w:rsidR="00076C4A" w:rsidRPr="00FB2906" w:rsidRDefault="00076C4A" w:rsidP="00E435E4">
            <w:pPr>
              <w:spacing w:line="276" w:lineRule="auto"/>
              <w:jc w:val="center"/>
              <w:rPr>
                <w:rFonts w:cs="Arial"/>
                <w:b/>
                <w:bCs/>
                <w:sz w:val="22"/>
                <w:szCs w:val="22"/>
              </w:rPr>
            </w:pPr>
            <w:r w:rsidRPr="00FB2906">
              <w:rPr>
                <w:rFonts w:cs="Arial"/>
                <w:b/>
                <w:bCs/>
                <w:sz w:val="22"/>
                <w:szCs w:val="22"/>
              </w:rPr>
              <w:t xml:space="preserve">                 2019</w:t>
            </w:r>
          </w:p>
          <w:p w14:paraId="2BCE9F24" w14:textId="77777777" w:rsidR="00076C4A" w:rsidRPr="00FB2906" w:rsidRDefault="00076C4A" w:rsidP="00E435E4">
            <w:pPr>
              <w:spacing w:line="276" w:lineRule="auto"/>
              <w:jc w:val="center"/>
              <w:rPr>
                <w:rFonts w:cs="Arial"/>
                <w:b/>
                <w:bCs/>
                <w:sz w:val="22"/>
                <w:szCs w:val="22"/>
              </w:rPr>
            </w:pPr>
            <w:r w:rsidRPr="00FB2906">
              <w:rPr>
                <w:rFonts w:cs="Arial"/>
                <w:b/>
                <w:bCs/>
                <w:sz w:val="22"/>
                <w:szCs w:val="22"/>
              </w:rPr>
              <w:t xml:space="preserve">                       $</w:t>
            </w:r>
          </w:p>
        </w:tc>
      </w:tr>
      <w:tr w:rsidR="00076C4A" w:rsidRPr="00FB2906" w14:paraId="00CC442D" w14:textId="77777777" w:rsidTr="00E435E4">
        <w:tc>
          <w:tcPr>
            <w:tcW w:w="3097" w:type="pct"/>
          </w:tcPr>
          <w:p w14:paraId="3699F1F1" w14:textId="77777777" w:rsidR="00076C4A" w:rsidRPr="00FB2906" w:rsidRDefault="00076C4A" w:rsidP="00E435E4">
            <w:pPr>
              <w:spacing w:line="276" w:lineRule="auto"/>
              <w:ind w:firstLineChars="300" w:firstLine="663"/>
              <w:rPr>
                <w:rFonts w:cs="Arial"/>
                <w:b/>
                <w:bCs/>
                <w:sz w:val="22"/>
                <w:szCs w:val="22"/>
              </w:rPr>
            </w:pPr>
          </w:p>
        </w:tc>
        <w:tc>
          <w:tcPr>
            <w:tcW w:w="865" w:type="pct"/>
          </w:tcPr>
          <w:p w14:paraId="4AE37F72" w14:textId="77777777" w:rsidR="00076C4A" w:rsidRPr="00FB2906" w:rsidRDefault="00076C4A" w:rsidP="00E435E4">
            <w:pPr>
              <w:spacing w:line="276" w:lineRule="auto"/>
              <w:jc w:val="center"/>
              <w:rPr>
                <w:rFonts w:cs="Arial"/>
                <w:b/>
                <w:bCs/>
                <w:sz w:val="22"/>
                <w:szCs w:val="22"/>
              </w:rPr>
            </w:pPr>
          </w:p>
        </w:tc>
        <w:tc>
          <w:tcPr>
            <w:tcW w:w="173" w:type="pct"/>
          </w:tcPr>
          <w:p w14:paraId="149D0A8A" w14:textId="77777777" w:rsidR="00076C4A" w:rsidRPr="00FB2906" w:rsidRDefault="00076C4A" w:rsidP="00E435E4">
            <w:pPr>
              <w:spacing w:line="276" w:lineRule="auto"/>
              <w:jc w:val="center"/>
              <w:rPr>
                <w:rFonts w:cs="Arial"/>
                <w:b/>
                <w:bCs/>
                <w:sz w:val="22"/>
                <w:szCs w:val="22"/>
              </w:rPr>
            </w:pPr>
          </w:p>
        </w:tc>
        <w:tc>
          <w:tcPr>
            <w:tcW w:w="865" w:type="pct"/>
          </w:tcPr>
          <w:p w14:paraId="67AA069B" w14:textId="77777777" w:rsidR="00076C4A" w:rsidRPr="00FB2906" w:rsidRDefault="00076C4A" w:rsidP="00E435E4">
            <w:pPr>
              <w:spacing w:line="276" w:lineRule="auto"/>
              <w:jc w:val="center"/>
              <w:rPr>
                <w:rFonts w:cs="Arial"/>
                <w:b/>
                <w:bCs/>
                <w:sz w:val="22"/>
                <w:szCs w:val="22"/>
              </w:rPr>
            </w:pPr>
          </w:p>
        </w:tc>
      </w:tr>
      <w:tr w:rsidR="00076C4A" w:rsidRPr="00FB2906" w14:paraId="41BB71EE" w14:textId="77777777" w:rsidTr="00E435E4">
        <w:tc>
          <w:tcPr>
            <w:tcW w:w="3097" w:type="pct"/>
          </w:tcPr>
          <w:p w14:paraId="376019FC" w14:textId="77777777" w:rsidR="00076C4A" w:rsidRPr="00FB2906" w:rsidRDefault="00076C4A" w:rsidP="00E435E4">
            <w:pPr>
              <w:spacing w:line="276" w:lineRule="auto"/>
              <w:rPr>
                <w:rFonts w:cs="Arial"/>
                <w:b/>
                <w:bCs/>
                <w:sz w:val="22"/>
                <w:szCs w:val="22"/>
              </w:rPr>
            </w:pPr>
            <w:r w:rsidRPr="00FB2906">
              <w:rPr>
                <w:rFonts w:cs="Arial"/>
                <w:b/>
                <w:bCs/>
                <w:sz w:val="22"/>
                <w:szCs w:val="22"/>
              </w:rPr>
              <w:t>Total Equity at the beginning of the financial year</w:t>
            </w:r>
          </w:p>
        </w:tc>
        <w:tc>
          <w:tcPr>
            <w:tcW w:w="865" w:type="pct"/>
          </w:tcPr>
          <w:p w14:paraId="7CD1B5C1" w14:textId="77777777" w:rsidR="00076C4A" w:rsidRPr="00FB2906" w:rsidRDefault="00076C4A" w:rsidP="00E435E4">
            <w:pPr>
              <w:spacing w:line="276" w:lineRule="auto"/>
              <w:jc w:val="right"/>
              <w:rPr>
                <w:rFonts w:cs="Arial"/>
                <w:sz w:val="22"/>
                <w:szCs w:val="22"/>
              </w:rPr>
            </w:pPr>
            <w:r w:rsidRPr="00FB2906">
              <w:rPr>
                <w:rFonts w:cs="Arial"/>
                <w:sz w:val="22"/>
                <w:szCs w:val="22"/>
              </w:rPr>
              <w:t>467,598</w:t>
            </w:r>
          </w:p>
        </w:tc>
        <w:tc>
          <w:tcPr>
            <w:tcW w:w="173" w:type="pct"/>
          </w:tcPr>
          <w:p w14:paraId="1436B749" w14:textId="77777777" w:rsidR="00076C4A" w:rsidRPr="00FB2906" w:rsidRDefault="00076C4A" w:rsidP="00E435E4">
            <w:pPr>
              <w:spacing w:line="276" w:lineRule="auto"/>
              <w:jc w:val="right"/>
              <w:rPr>
                <w:rFonts w:cs="Arial"/>
                <w:sz w:val="22"/>
                <w:szCs w:val="22"/>
              </w:rPr>
            </w:pPr>
          </w:p>
        </w:tc>
        <w:tc>
          <w:tcPr>
            <w:tcW w:w="865" w:type="pct"/>
          </w:tcPr>
          <w:p w14:paraId="12221CE7" w14:textId="77777777" w:rsidR="00076C4A" w:rsidRPr="00FB2906" w:rsidRDefault="00076C4A" w:rsidP="00E435E4">
            <w:pPr>
              <w:spacing w:line="276" w:lineRule="auto"/>
              <w:jc w:val="right"/>
              <w:rPr>
                <w:rFonts w:cs="Arial"/>
                <w:sz w:val="22"/>
                <w:szCs w:val="22"/>
              </w:rPr>
            </w:pPr>
            <w:r w:rsidRPr="00FB2906">
              <w:rPr>
                <w:rFonts w:cs="Arial"/>
                <w:sz w:val="22"/>
                <w:szCs w:val="22"/>
              </w:rPr>
              <w:t>481,122</w:t>
            </w:r>
          </w:p>
        </w:tc>
      </w:tr>
      <w:tr w:rsidR="00076C4A" w:rsidRPr="00FB2906" w14:paraId="02901AB3" w14:textId="77777777" w:rsidTr="00E435E4">
        <w:tc>
          <w:tcPr>
            <w:tcW w:w="3097" w:type="pct"/>
          </w:tcPr>
          <w:p w14:paraId="4F0E9126" w14:textId="77777777" w:rsidR="00076C4A" w:rsidRPr="00FB2906" w:rsidRDefault="00076C4A" w:rsidP="00E435E4">
            <w:pPr>
              <w:spacing w:line="276" w:lineRule="auto"/>
              <w:rPr>
                <w:rFonts w:cs="Arial"/>
                <w:sz w:val="22"/>
                <w:szCs w:val="22"/>
              </w:rPr>
            </w:pPr>
            <w:r w:rsidRPr="00FB2906">
              <w:rPr>
                <w:rFonts w:cs="Arial"/>
                <w:sz w:val="22"/>
                <w:szCs w:val="22"/>
              </w:rPr>
              <w:t>Total comprehensive income for the year</w:t>
            </w:r>
          </w:p>
        </w:tc>
        <w:tc>
          <w:tcPr>
            <w:tcW w:w="865" w:type="pct"/>
            <w:tcBorders>
              <w:bottom w:val="single" w:sz="4" w:space="0" w:color="auto"/>
            </w:tcBorders>
          </w:tcPr>
          <w:p w14:paraId="7CE348E6" w14:textId="77777777" w:rsidR="00076C4A" w:rsidRPr="00FB2906" w:rsidRDefault="00076C4A" w:rsidP="00E435E4">
            <w:pPr>
              <w:spacing w:line="276" w:lineRule="auto"/>
              <w:jc w:val="right"/>
              <w:rPr>
                <w:rFonts w:cs="Arial"/>
                <w:sz w:val="22"/>
                <w:szCs w:val="22"/>
              </w:rPr>
            </w:pPr>
            <w:r w:rsidRPr="00FB2906">
              <w:rPr>
                <w:rFonts w:cs="Arial"/>
                <w:sz w:val="22"/>
                <w:szCs w:val="22"/>
              </w:rPr>
              <w:t>126,181</w:t>
            </w:r>
          </w:p>
        </w:tc>
        <w:tc>
          <w:tcPr>
            <w:tcW w:w="173" w:type="pct"/>
          </w:tcPr>
          <w:p w14:paraId="3670A78D" w14:textId="77777777" w:rsidR="00076C4A" w:rsidRPr="00FB2906" w:rsidRDefault="00076C4A" w:rsidP="00E435E4">
            <w:pPr>
              <w:spacing w:line="276" w:lineRule="auto"/>
              <w:jc w:val="right"/>
              <w:rPr>
                <w:rFonts w:cs="Arial"/>
                <w:sz w:val="22"/>
                <w:szCs w:val="22"/>
              </w:rPr>
            </w:pPr>
          </w:p>
        </w:tc>
        <w:tc>
          <w:tcPr>
            <w:tcW w:w="865" w:type="pct"/>
            <w:tcBorders>
              <w:bottom w:val="single" w:sz="4" w:space="0" w:color="auto"/>
            </w:tcBorders>
          </w:tcPr>
          <w:p w14:paraId="1AD899C7" w14:textId="77777777" w:rsidR="00076C4A" w:rsidRPr="00FB2906" w:rsidRDefault="00076C4A" w:rsidP="00E435E4">
            <w:pPr>
              <w:spacing w:line="276" w:lineRule="auto"/>
              <w:jc w:val="right"/>
              <w:rPr>
                <w:rFonts w:cs="Arial"/>
                <w:sz w:val="22"/>
                <w:szCs w:val="22"/>
              </w:rPr>
            </w:pPr>
            <w:r w:rsidRPr="00FB2906">
              <w:rPr>
                <w:rFonts w:cs="Arial"/>
                <w:sz w:val="22"/>
                <w:szCs w:val="22"/>
              </w:rPr>
              <w:t>(13,524)</w:t>
            </w:r>
          </w:p>
        </w:tc>
      </w:tr>
      <w:tr w:rsidR="00076C4A" w:rsidRPr="00FB2906" w14:paraId="4D6A6BB4" w14:textId="77777777" w:rsidTr="00E435E4">
        <w:tc>
          <w:tcPr>
            <w:tcW w:w="3097" w:type="pct"/>
          </w:tcPr>
          <w:p w14:paraId="6D5CE95D" w14:textId="77777777" w:rsidR="00076C4A" w:rsidRPr="00FB2906" w:rsidRDefault="00076C4A" w:rsidP="00E435E4">
            <w:pPr>
              <w:spacing w:line="276" w:lineRule="auto"/>
              <w:rPr>
                <w:rFonts w:cs="Arial"/>
                <w:b/>
                <w:bCs/>
                <w:sz w:val="22"/>
                <w:szCs w:val="22"/>
              </w:rPr>
            </w:pPr>
          </w:p>
          <w:p w14:paraId="207198AA" w14:textId="77777777" w:rsidR="00076C4A" w:rsidRPr="00FB2906" w:rsidRDefault="00076C4A" w:rsidP="00E435E4">
            <w:pPr>
              <w:spacing w:line="276" w:lineRule="auto"/>
              <w:rPr>
                <w:rFonts w:cs="Arial"/>
                <w:b/>
                <w:bCs/>
                <w:sz w:val="22"/>
                <w:szCs w:val="22"/>
              </w:rPr>
            </w:pPr>
            <w:r w:rsidRPr="00FB2906">
              <w:rPr>
                <w:rFonts w:cs="Arial"/>
                <w:b/>
                <w:bCs/>
                <w:sz w:val="22"/>
                <w:szCs w:val="22"/>
              </w:rPr>
              <w:t xml:space="preserve">Total Equity at the end of the financial year </w:t>
            </w:r>
          </w:p>
        </w:tc>
        <w:tc>
          <w:tcPr>
            <w:tcW w:w="865" w:type="pct"/>
            <w:tcBorders>
              <w:bottom w:val="double" w:sz="4" w:space="0" w:color="auto"/>
            </w:tcBorders>
          </w:tcPr>
          <w:p w14:paraId="40FA7053" w14:textId="77777777" w:rsidR="00076C4A" w:rsidRPr="00FB2906" w:rsidRDefault="00076C4A" w:rsidP="00E435E4">
            <w:pPr>
              <w:spacing w:line="276" w:lineRule="auto"/>
              <w:jc w:val="right"/>
              <w:rPr>
                <w:rFonts w:cs="Arial"/>
                <w:sz w:val="22"/>
                <w:szCs w:val="22"/>
              </w:rPr>
            </w:pPr>
          </w:p>
          <w:p w14:paraId="62B3ED54" w14:textId="77777777" w:rsidR="00076C4A" w:rsidRPr="00FB2906" w:rsidRDefault="00076C4A" w:rsidP="00E435E4">
            <w:pPr>
              <w:spacing w:line="276" w:lineRule="auto"/>
              <w:jc w:val="right"/>
              <w:rPr>
                <w:rFonts w:cs="Arial"/>
                <w:sz w:val="22"/>
                <w:szCs w:val="22"/>
              </w:rPr>
            </w:pPr>
            <w:r w:rsidRPr="00FB2906">
              <w:rPr>
                <w:rFonts w:cs="Arial"/>
                <w:sz w:val="22"/>
                <w:szCs w:val="22"/>
              </w:rPr>
              <w:t>593,779</w:t>
            </w:r>
          </w:p>
        </w:tc>
        <w:tc>
          <w:tcPr>
            <w:tcW w:w="173" w:type="pct"/>
            <w:vAlign w:val="center"/>
          </w:tcPr>
          <w:p w14:paraId="2BA48CCE" w14:textId="77777777" w:rsidR="00076C4A" w:rsidRPr="00FB2906" w:rsidRDefault="00076C4A" w:rsidP="00E435E4">
            <w:pPr>
              <w:spacing w:line="276" w:lineRule="auto"/>
              <w:rPr>
                <w:rFonts w:cs="Arial"/>
                <w:sz w:val="22"/>
                <w:szCs w:val="22"/>
              </w:rPr>
            </w:pPr>
          </w:p>
        </w:tc>
        <w:tc>
          <w:tcPr>
            <w:tcW w:w="865" w:type="pct"/>
            <w:tcBorders>
              <w:bottom w:val="double" w:sz="4" w:space="0" w:color="auto"/>
            </w:tcBorders>
          </w:tcPr>
          <w:p w14:paraId="62BA73C8" w14:textId="77777777" w:rsidR="00076C4A" w:rsidRPr="00FB2906" w:rsidRDefault="00076C4A" w:rsidP="00E435E4">
            <w:pPr>
              <w:spacing w:line="276" w:lineRule="auto"/>
              <w:jc w:val="right"/>
              <w:rPr>
                <w:rFonts w:cs="Arial"/>
                <w:sz w:val="22"/>
                <w:szCs w:val="22"/>
              </w:rPr>
            </w:pPr>
          </w:p>
          <w:p w14:paraId="25F89B4C" w14:textId="77777777" w:rsidR="00076C4A" w:rsidRPr="00FB2906" w:rsidRDefault="00076C4A" w:rsidP="00E435E4">
            <w:pPr>
              <w:spacing w:line="276" w:lineRule="auto"/>
              <w:jc w:val="right"/>
              <w:rPr>
                <w:rFonts w:cs="Arial"/>
                <w:sz w:val="22"/>
                <w:szCs w:val="22"/>
              </w:rPr>
            </w:pPr>
            <w:r w:rsidRPr="00FB2906">
              <w:rPr>
                <w:rFonts w:cs="Arial"/>
                <w:sz w:val="22"/>
                <w:szCs w:val="22"/>
              </w:rPr>
              <w:t>467,598</w:t>
            </w:r>
          </w:p>
        </w:tc>
      </w:tr>
      <w:tr w:rsidR="00076C4A" w:rsidRPr="00FB2906" w14:paraId="4EAB2C0D" w14:textId="77777777" w:rsidTr="00E435E4">
        <w:tc>
          <w:tcPr>
            <w:tcW w:w="3097" w:type="pct"/>
            <w:vAlign w:val="center"/>
          </w:tcPr>
          <w:p w14:paraId="06B2C1F8" w14:textId="77777777" w:rsidR="00076C4A" w:rsidRPr="00FB2906" w:rsidRDefault="00076C4A" w:rsidP="00E435E4">
            <w:pPr>
              <w:spacing w:line="276" w:lineRule="auto"/>
              <w:rPr>
                <w:rFonts w:cs="Arial"/>
                <w:b/>
                <w:bCs/>
                <w:sz w:val="22"/>
                <w:szCs w:val="22"/>
              </w:rPr>
            </w:pPr>
          </w:p>
        </w:tc>
        <w:tc>
          <w:tcPr>
            <w:tcW w:w="865" w:type="pct"/>
            <w:tcBorders>
              <w:top w:val="double" w:sz="4" w:space="0" w:color="auto"/>
            </w:tcBorders>
          </w:tcPr>
          <w:p w14:paraId="12C7F7F3" w14:textId="77777777" w:rsidR="00076C4A" w:rsidRPr="00FB2906" w:rsidRDefault="00076C4A" w:rsidP="00E435E4">
            <w:pPr>
              <w:spacing w:line="276" w:lineRule="auto"/>
              <w:rPr>
                <w:rFonts w:cs="Arial"/>
                <w:sz w:val="22"/>
                <w:szCs w:val="22"/>
              </w:rPr>
            </w:pPr>
          </w:p>
        </w:tc>
        <w:tc>
          <w:tcPr>
            <w:tcW w:w="173" w:type="pct"/>
            <w:vAlign w:val="center"/>
          </w:tcPr>
          <w:p w14:paraId="1C7FE93D" w14:textId="77777777" w:rsidR="00076C4A" w:rsidRPr="00FB2906" w:rsidRDefault="00076C4A" w:rsidP="00E435E4">
            <w:pPr>
              <w:spacing w:line="276" w:lineRule="auto"/>
              <w:rPr>
                <w:rFonts w:cs="Arial"/>
                <w:sz w:val="22"/>
                <w:szCs w:val="22"/>
              </w:rPr>
            </w:pPr>
          </w:p>
        </w:tc>
        <w:tc>
          <w:tcPr>
            <w:tcW w:w="865" w:type="pct"/>
            <w:tcBorders>
              <w:top w:val="double" w:sz="4" w:space="0" w:color="auto"/>
            </w:tcBorders>
          </w:tcPr>
          <w:p w14:paraId="72239955" w14:textId="77777777" w:rsidR="00076C4A" w:rsidRPr="00FB2906" w:rsidRDefault="00076C4A" w:rsidP="00E435E4">
            <w:pPr>
              <w:spacing w:line="276" w:lineRule="auto"/>
              <w:jc w:val="center"/>
              <w:rPr>
                <w:rFonts w:cs="Arial"/>
                <w:b/>
                <w:bCs/>
                <w:sz w:val="22"/>
                <w:szCs w:val="22"/>
              </w:rPr>
            </w:pPr>
            <w:r w:rsidRPr="00FB2906">
              <w:rPr>
                <w:rFonts w:cs="Arial"/>
                <w:b/>
                <w:bCs/>
                <w:sz w:val="22"/>
                <w:szCs w:val="22"/>
              </w:rPr>
              <w:t xml:space="preserve">                 </w:t>
            </w:r>
          </w:p>
          <w:p w14:paraId="5ABE395B" w14:textId="77777777" w:rsidR="00076C4A" w:rsidRPr="00FB2906" w:rsidRDefault="00076C4A" w:rsidP="00E435E4">
            <w:pPr>
              <w:spacing w:line="276" w:lineRule="auto"/>
              <w:jc w:val="center"/>
              <w:rPr>
                <w:rFonts w:cs="Arial"/>
                <w:b/>
                <w:bCs/>
                <w:sz w:val="22"/>
                <w:szCs w:val="22"/>
              </w:rPr>
            </w:pPr>
          </w:p>
        </w:tc>
      </w:tr>
    </w:tbl>
    <w:p w14:paraId="17C5E051" w14:textId="77777777" w:rsidR="00076C4A" w:rsidRPr="00FB2906" w:rsidRDefault="00076C4A" w:rsidP="00076C4A">
      <w:pPr>
        <w:pStyle w:val="HeaderTOC"/>
        <w:spacing w:before="100" w:beforeAutospacing="1" w:after="100" w:afterAutospacing="1" w:line="276" w:lineRule="auto"/>
        <w:rPr>
          <w:rFonts w:ascii="Roboto" w:hAnsi="Roboto"/>
          <w:sz w:val="26"/>
          <w:szCs w:val="22"/>
          <w:lang w:val="en-AU"/>
        </w:rPr>
      </w:pPr>
    </w:p>
    <w:p w14:paraId="1D3B44FE" w14:textId="77777777" w:rsidR="00076C4A" w:rsidRPr="00FB2906" w:rsidRDefault="00076C4A" w:rsidP="00076C4A">
      <w:pPr>
        <w:pStyle w:val="HeaderTOC"/>
        <w:spacing w:before="100" w:beforeAutospacing="1" w:after="100" w:afterAutospacing="1" w:line="276" w:lineRule="auto"/>
        <w:rPr>
          <w:rFonts w:ascii="Roboto" w:hAnsi="Roboto"/>
          <w:sz w:val="26"/>
          <w:szCs w:val="22"/>
          <w:lang w:val="en-AU"/>
        </w:rPr>
        <w:sectPr w:rsidR="00076C4A" w:rsidRPr="00FB2906" w:rsidSect="00C82A57">
          <w:headerReference w:type="even" r:id="rId21"/>
          <w:headerReference w:type="default" r:id="rId22"/>
          <w:footerReference w:type="default" r:id="rId23"/>
          <w:headerReference w:type="first" r:id="rId24"/>
          <w:type w:val="continuous"/>
          <w:pgSz w:w="11906" w:h="16838"/>
          <w:pgMar w:top="1418" w:right="1134" w:bottom="851" w:left="1418" w:header="709" w:footer="709" w:gutter="0"/>
          <w:cols w:space="708"/>
          <w:docGrid w:linePitch="360"/>
        </w:sectPr>
      </w:pPr>
    </w:p>
    <w:p w14:paraId="05D27548" w14:textId="77777777" w:rsidR="00076C4A" w:rsidRPr="00FB2906" w:rsidRDefault="00076C4A" w:rsidP="00076C4A">
      <w:pPr>
        <w:pStyle w:val="Heading1"/>
        <w:spacing w:line="276" w:lineRule="auto"/>
      </w:pPr>
      <w:bookmarkStart w:id="15" w:name="_Toc237075424"/>
      <w:r w:rsidRPr="00FB2906">
        <w:lastRenderedPageBreak/>
        <w:t>Statement of Cash Flow</w:t>
      </w:r>
      <w:bookmarkEnd w:id="15"/>
    </w:p>
    <w:p w14:paraId="75E9F6B0" w14:textId="77777777" w:rsidR="00076C4A" w:rsidRPr="00FB2906" w:rsidRDefault="00076C4A" w:rsidP="00076C4A">
      <w:pPr>
        <w:spacing w:line="276" w:lineRule="auto"/>
        <w:rPr>
          <w:b/>
          <w:color w:val="595959" w:themeColor="text1" w:themeTint="A6"/>
        </w:rPr>
      </w:pPr>
      <w:r w:rsidRPr="00FB2906">
        <w:rPr>
          <w:b/>
          <w:color w:val="595959" w:themeColor="text1" w:themeTint="A6"/>
        </w:rPr>
        <w:t>For the year ended 30 June 2020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6"/>
        <w:gridCol w:w="809"/>
        <w:gridCol w:w="1531"/>
        <w:gridCol w:w="1531"/>
      </w:tblGrid>
      <w:tr w:rsidR="00076C4A" w:rsidRPr="00FB2906" w14:paraId="17BFF4E7" w14:textId="77777777" w:rsidTr="00E435E4">
        <w:tc>
          <w:tcPr>
            <w:tcW w:w="5046" w:type="dxa"/>
          </w:tcPr>
          <w:p w14:paraId="2BA9AC3C" w14:textId="77777777" w:rsidR="00076C4A" w:rsidRPr="00FB2906" w:rsidRDefault="00076C4A" w:rsidP="00E435E4">
            <w:pPr>
              <w:spacing w:line="276" w:lineRule="auto"/>
              <w:ind w:right="91"/>
            </w:pPr>
          </w:p>
        </w:tc>
        <w:tc>
          <w:tcPr>
            <w:tcW w:w="809" w:type="dxa"/>
            <w:vAlign w:val="center"/>
          </w:tcPr>
          <w:p w14:paraId="27413BA9" w14:textId="77777777" w:rsidR="00076C4A" w:rsidRPr="00FB2906" w:rsidRDefault="00076C4A" w:rsidP="00E435E4">
            <w:pPr>
              <w:spacing w:line="276" w:lineRule="auto"/>
              <w:ind w:right="91"/>
              <w:rPr>
                <w:b/>
              </w:rPr>
            </w:pPr>
          </w:p>
        </w:tc>
        <w:tc>
          <w:tcPr>
            <w:tcW w:w="1531" w:type="dxa"/>
            <w:vAlign w:val="center"/>
          </w:tcPr>
          <w:p w14:paraId="0C9A8F46" w14:textId="77777777" w:rsidR="00076C4A" w:rsidRPr="00FB2906" w:rsidRDefault="00076C4A" w:rsidP="00E435E4">
            <w:pPr>
              <w:spacing w:line="276" w:lineRule="auto"/>
              <w:ind w:right="91"/>
              <w:jc w:val="right"/>
              <w:rPr>
                <w:b/>
              </w:rPr>
            </w:pPr>
            <w:r w:rsidRPr="00FB2906">
              <w:rPr>
                <w:b/>
              </w:rPr>
              <w:t>2020</w:t>
            </w:r>
          </w:p>
        </w:tc>
        <w:tc>
          <w:tcPr>
            <w:tcW w:w="1531" w:type="dxa"/>
            <w:vAlign w:val="center"/>
          </w:tcPr>
          <w:p w14:paraId="207731D8" w14:textId="77777777" w:rsidR="00076C4A" w:rsidRPr="00FB2906" w:rsidRDefault="00076C4A" w:rsidP="00E435E4">
            <w:pPr>
              <w:spacing w:line="276" w:lineRule="auto"/>
              <w:ind w:right="91"/>
              <w:jc w:val="right"/>
              <w:rPr>
                <w:b/>
              </w:rPr>
            </w:pPr>
            <w:r w:rsidRPr="00FB2906">
              <w:rPr>
                <w:b/>
              </w:rPr>
              <w:t>2019</w:t>
            </w:r>
          </w:p>
        </w:tc>
      </w:tr>
      <w:tr w:rsidR="00076C4A" w:rsidRPr="00FB2906" w14:paraId="193DA6A2" w14:textId="77777777" w:rsidTr="00E435E4">
        <w:tc>
          <w:tcPr>
            <w:tcW w:w="5046" w:type="dxa"/>
          </w:tcPr>
          <w:p w14:paraId="3A22F5B2" w14:textId="77777777" w:rsidR="00076C4A" w:rsidRPr="00FB2906" w:rsidRDefault="00076C4A" w:rsidP="00E435E4">
            <w:pPr>
              <w:spacing w:line="276" w:lineRule="auto"/>
              <w:ind w:right="91"/>
            </w:pPr>
          </w:p>
        </w:tc>
        <w:tc>
          <w:tcPr>
            <w:tcW w:w="809" w:type="dxa"/>
            <w:vAlign w:val="center"/>
          </w:tcPr>
          <w:p w14:paraId="6A3874D8" w14:textId="77777777" w:rsidR="00076C4A" w:rsidRPr="00FB2906" w:rsidRDefault="00076C4A" w:rsidP="00E435E4">
            <w:pPr>
              <w:spacing w:line="276" w:lineRule="auto"/>
              <w:ind w:right="91"/>
            </w:pPr>
          </w:p>
        </w:tc>
        <w:tc>
          <w:tcPr>
            <w:tcW w:w="1531" w:type="dxa"/>
            <w:vAlign w:val="center"/>
          </w:tcPr>
          <w:p w14:paraId="12E771BE" w14:textId="77777777" w:rsidR="00076C4A" w:rsidRPr="00FB2906" w:rsidRDefault="00076C4A" w:rsidP="00E435E4">
            <w:pPr>
              <w:spacing w:line="276" w:lineRule="auto"/>
              <w:ind w:right="91"/>
              <w:jc w:val="right"/>
              <w:rPr>
                <w:b/>
              </w:rPr>
            </w:pPr>
            <w:r w:rsidRPr="00FB2906">
              <w:rPr>
                <w:b/>
              </w:rPr>
              <w:t>$</w:t>
            </w:r>
          </w:p>
        </w:tc>
        <w:tc>
          <w:tcPr>
            <w:tcW w:w="1531" w:type="dxa"/>
            <w:vAlign w:val="center"/>
          </w:tcPr>
          <w:p w14:paraId="54032F62" w14:textId="77777777" w:rsidR="00076C4A" w:rsidRPr="00FB2906" w:rsidRDefault="00076C4A" w:rsidP="00E435E4">
            <w:pPr>
              <w:spacing w:line="276" w:lineRule="auto"/>
              <w:ind w:right="91"/>
              <w:jc w:val="right"/>
              <w:rPr>
                <w:b/>
              </w:rPr>
            </w:pPr>
            <w:r w:rsidRPr="00FB2906">
              <w:rPr>
                <w:b/>
              </w:rPr>
              <w:t>$</w:t>
            </w:r>
          </w:p>
        </w:tc>
      </w:tr>
      <w:tr w:rsidR="00076C4A" w:rsidRPr="00FB2906" w14:paraId="64B0BAC8" w14:textId="77777777" w:rsidTr="00E435E4">
        <w:trPr>
          <w:trHeight w:val="340"/>
        </w:trPr>
        <w:tc>
          <w:tcPr>
            <w:tcW w:w="5046" w:type="dxa"/>
          </w:tcPr>
          <w:p w14:paraId="6D2E5B22" w14:textId="77777777" w:rsidR="00076C4A" w:rsidRPr="00FB2906" w:rsidRDefault="00076C4A" w:rsidP="00E435E4">
            <w:pPr>
              <w:spacing w:line="276" w:lineRule="auto"/>
              <w:ind w:right="91"/>
              <w:rPr>
                <w:b/>
              </w:rPr>
            </w:pPr>
            <w:r w:rsidRPr="00FB2906">
              <w:rPr>
                <w:b/>
              </w:rPr>
              <w:t>CASH FLOWS FROM OPERATING ACTIVITIES</w:t>
            </w:r>
          </w:p>
        </w:tc>
        <w:tc>
          <w:tcPr>
            <w:tcW w:w="809" w:type="dxa"/>
            <w:vAlign w:val="center"/>
          </w:tcPr>
          <w:p w14:paraId="266B0FBB" w14:textId="77777777" w:rsidR="00076C4A" w:rsidRPr="00FB2906" w:rsidRDefault="00076C4A" w:rsidP="00E435E4">
            <w:pPr>
              <w:spacing w:line="276" w:lineRule="auto"/>
              <w:ind w:right="91"/>
            </w:pPr>
          </w:p>
        </w:tc>
        <w:tc>
          <w:tcPr>
            <w:tcW w:w="1531" w:type="dxa"/>
            <w:vAlign w:val="center"/>
          </w:tcPr>
          <w:p w14:paraId="74472D75" w14:textId="77777777" w:rsidR="00076C4A" w:rsidRPr="00FB2906" w:rsidRDefault="00076C4A" w:rsidP="00E435E4">
            <w:pPr>
              <w:spacing w:line="276" w:lineRule="auto"/>
              <w:ind w:right="91"/>
              <w:jc w:val="right"/>
            </w:pPr>
          </w:p>
        </w:tc>
        <w:tc>
          <w:tcPr>
            <w:tcW w:w="1531" w:type="dxa"/>
            <w:vAlign w:val="center"/>
          </w:tcPr>
          <w:p w14:paraId="69A7C801" w14:textId="77777777" w:rsidR="00076C4A" w:rsidRPr="00FB2906" w:rsidRDefault="00076C4A" w:rsidP="00E435E4">
            <w:pPr>
              <w:spacing w:line="276" w:lineRule="auto"/>
              <w:ind w:right="91"/>
              <w:jc w:val="right"/>
            </w:pPr>
          </w:p>
        </w:tc>
      </w:tr>
      <w:tr w:rsidR="00076C4A" w:rsidRPr="00FB2906" w14:paraId="691D17D5" w14:textId="77777777" w:rsidTr="00E435E4">
        <w:trPr>
          <w:trHeight w:val="340"/>
        </w:trPr>
        <w:tc>
          <w:tcPr>
            <w:tcW w:w="5046" w:type="dxa"/>
          </w:tcPr>
          <w:p w14:paraId="6AFA847D" w14:textId="77777777" w:rsidR="00076C4A" w:rsidRPr="00FB2906" w:rsidRDefault="00076C4A" w:rsidP="00E435E4">
            <w:pPr>
              <w:spacing w:line="276" w:lineRule="auto"/>
              <w:ind w:right="91"/>
            </w:pPr>
            <w:r w:rsidRPr="00FB2906">
              <w:t>Receipts from Members</w:t>
            </w:r>
          </w:p>
        </w:tc>
        <w:tc>
          <w:tcPr>
            <w:tcW w:w="809" w:type="dxa"/>
            <w:vAlign w:val="center"/>
          </w:tcPr>
          <w:p w14:paraId="27B99697" w14:textId="77777777" w:rsidR="00076C4A" w:rsidRPr="00FB2906" w:rsidRDefault="00076C4A" w:rsidP="00E435E4">
            <w:pPr>
              <w:spacing w:line="276" w:lineRule="auto"/>
              <w:ind w:right="91"/>
            </w:pPr>
          </w:p>
        </w:tc>
        <w:tc>
          <w:tcPr>
            <w:tcW w:w="1531" w:type="dxa"/>
            <w:vAlign w:val="center"/>
          </w:tcPr>
          <w:p w14:paraId="15D2D6FB" w14:textId="77777777" w:rsidR="00076C4A" w:rsidRPr="00FB2906" w:rsidRDefault="00076C4A" w:rsidP="00E435E4">
            <w:pPr>
              <w:spacing w:line="276" w:lineRule="auto"/>
              <w:ind w:right="91"/>
              <w:jc w:val="right"/>
            </w:pPr>
            <w:r w:rsidRPr="00FB2906">
              <w:t>2,342,227</w:t>
            </w:r>
          </w:p>
        </w:tc>
        <w:tc>
          <w:tcPr>
            <w:tcW w:w="1531" w:type="dxa"/>
            <w:vAlign w:val="center"/>
          </w:tcPr>
          <w:p w14:paraId="548E1088" w14:textId="77777777" w:rsidR="00076C4A" w:rsidRPr="00FB2906" w:rsidRDefault="00076C4A" w:rsidP="00E435E4">
            <w:pPr>
              <w:spacing w:line="276" w:lineRule="auto"/>
              <w:ind w:right="91"/>
              <w:jc w:val="right"/>
            </w:pPr>
            <w:r w:rsidRPr="00FB2906">
              <w:t>1,933,651</w:t>
            </w:r>
          </w:p>
        </w:tc>
      </w:tr>
      <w:tr w:rsidR="00076C4A" w:rsidRPr="00FB2906" w14:paraId="286F8AB0" w14:textId="77777777" w:rsidTr="00E435E4">
        <w:trPr>
          <w:trHeight w:val="340"/>
        </w:trPr>
        <w:tc>
          <w:tcPr>
            <w:tcW w:w="5046" w:type="dxa"/>
          </w:tcPr>
          <w:p w14:paraId="1C282BD6" w14:textId="77777777" w:rsidR="00076C4A" w:rsidRPr="00FB2906" w:rsidRDefault="00076C4A" w:rsidP="00E435E4">
            <w:pPr>
              <w:spacing w:line="276" w:lineRule="auto"/>
              <w:ind w:right="91"/>
            </w:pPr>
            <w:r w:rsidRPr="00FB2906">
              <w:t>Payments to suppliers and employees</w:t>
            </w:r>
          </w:p>
        </w:tc>
        <w:tc>
          <w:tcPr>
            <w:tcW w:w="809" w:type="dxa"/>
            <w:vAlign w:val="center"/>
          </w:tcPr>
          <w:p w14:paraId="4C2661F8" w14:textId="77777777" w:rsidR="00076C4A" w:rsidRPr="00FB2906" w:rsidRDefault="00076C4A" w:rsidP="00E435E4">
            <w:pPr>
              <w:spacing w:line="276" w:lineRule="auto"/>
              <w:ind w:right="91"/>
            </w:pPr>
          </w:p>
        </w:tc>
        <w:tc>
          <w:tcPr>
            <w:tcW w:w="1531" w:type="dxa"/>
            <w:vAlign w:val="center"/>
          </w:tcPr>
          <w:p w14:paraId="77894DE4" w14:textId="77777777" w:rsidR="00076C4A" w:rsidRPr="00FB2906" w:rsidRDefault="00076C4A" w:rsidP="00E435E4">
            <w:pPr>
              <w:spacing w:line="276" w:lineRule="auto"/>
              <w:ind w:right="91"/>
              <w:jc w:val="right"/>
            </w:pPr>
            <w:r w:rsidRPr="00FB2906">
              <w:t>(2,074,915)</w:t>
            </w:r>
          </w:p>
        </w:tc>
        <w:tc>
          <w:tcPr>
            <w:tcW w:w="1531" w:type="dxa"/>
            <w:vAlign w:val="center"/>
          </w:tcPr>
          <w:p w14:paraId="697E2C1F" w14:textId="77777777" w:rsidR="00076C4A" w:rsidRPr="00FB2906" w:rsidRDefault="00076C4A" w:rsidP="00E435E4">
            <w:pPr>
              <w:spacing w:line="276" w:lineRule="auto"/>
              <w:ind w:right="91"/>
              <w:jc w:val="right"/>
            </w:pPr>
            <w:r w:rsidRPr="00FB2906">
              <w:t>(1,980,755)</w:t>
            </w:r>
          </w:p>
        </w:tc>
      </w:tr>
      <w:tr w:rsidR="00076C4A" w:rsidRPr="00FB2906" w14:paraId="2989D5BA" w14:textId="77777777" w:rsidTr="00E435E4">
        <w:trPr>
          <w:trHeight w:val="340"/>
        </w:trPr>
        <w:tc>
          <w:tcPr>
            <w:tcW w:w="5046" w:type="dxa"/>
          </w:tcPr>
          <w:p w14:paraId="5A284B37" w14:textId="77777777" w:rsidR="00076C4A" w:rsidRPr="00FB2906" w:rsidRDefault="00076C4A" w:rsidP="00E435E4">
            <w:pPr>
              <w:spacing w:line="276" w:lineRule="auto"/>
              <w:ind w:right="91"/>
            </w:pPr>
            <w:r w:rsidRPr="00FB2906">
              <w:t>Other Income</w:t>
            </w:r>
          </w:p>
          <w:p w14:paraId="56DA6F8B" w14:textId="77777777" w:rsidR="00076C4A" w:rsidRPr="00FB2906" w:rsidRDefault="00076C4A" w:rsidP="00E435E4">
            <w:pPr>
              <w:spacing w:line="276" w:lineRule="auto"/>
              <w:ind w:right="91"/>
            </w:pPr>
            <w:r w:rsidRPr="00FB2906">
              <w:t>Interest received</w:t>
            </w:r>
          </w:p>
        </w:tc>
        <w:tc>
          <w:tcPr>
            <w:tcW w:w="809" w:type="dxa"/>
            <w:vAlign w:val="center"/>
          </w:tcPr>
          <w:p w14:paraId="14F61D49" w14:textId="77777777" w:rsidR="00076C4A" w:rsidRPr="00FB2906" w:rsidRDefault="00076C4A" w:rsidP="00E435E4">
            <w:pPr>
              <w:spacing w:line="276" w:lineRule="auto"/>
              <w:ind w:right="91"/>
            </w:pPr>
          </w:p>
        </w:tc>
        <w:tc>
          <w:tcPr>
            <w:tcW w:w="1531" w:type="dxa"/>
            <w:tcBorders>
              <w:bottom w:val="single" w:sz="4" w:space="0" w:color="auto"/>
            </w:tcBorders>
            <w:vAlign w:val="center"/>
          </w:tcPr>
          <w:p w14:paraId="40CE41AD" w14:textId="77777777" w:rsidR="00076C4A" w:rsidRPr="00FB2906" w:rsidRDefault="00076C4A" w:rsidP="00E435E4">
            <w:pPr>
              <w:spacing w:line="276" w:lineRule="auto"/>
              <w:ind w:right="91"/>
              <w:jc w:val="right"/>
            </w:pPr>
            <w:r w:rsidRPr="00FB2906">
              <w:t>50,000</w:t>
            </w:r>
          </w:p>
          <w:p w14:paraId="43BA609D" w14:textId="77777777" w:rsidR="00076C4A" w:rsidRPr="00FB2906" w:rsidRDefault="00076C4A" w:rsidP="00E435E4">
            <w:pPr>
              <w:spacing w:line="276" w:lineRule="auto"/>
              <w:ind w:right="91"/>
              <w:jc w:val="right"/>
            </w:pPr>
            <w:r w:rsidRPr="00FB2906">
              <w:t>10,923</w:t>
            </w:r>
          </w:p>
        </w:tc>
        <w:tc>
          <w:tcPr>
            <w:tcW w:w="1531" w:type="dxa"/>
            <w:tcBorders>
              <w:bottom w:val="single" w:sz="4" w:space="0" w:color="auto"/>
            </w:tcBorders>
            <w:vAlign w:val="center"/>
          </w:tcPr>
          <w:p w14:paraId="60194DE9" w14:textId="77777777" w:rsidR="00076C4A" w:rsidRPr="00FB2906" w:rsidRDefault="00076C4A" w:rsidP="00E435E4">
            <w:pPr>
              <w:spacing w:line="276" w:lineRule="auto"/>
              <w:ind w:right="91"/>
              <w:jc w:val="right"/>
            </w:pPr>
          </w:p>
          <w:p w14:paraId="45CECC8B" w14:textId="77777777" w:rsidR="00076C4A" w:rsidRPr="00FB2906" w:rsidRDefault="00076C4A" w:rsidP="00E435E4">
            <w:pPr>
              <w:spacing w:line="276" w:lineRule="auto"/>
              <w:ind w:right="91"/>
              <w:jc w:val="right"/>
            </w:pPr>
            <w:r w:rsidRPr="00FB2906">
              <w:t>17,125</w:t>
            </w:r>
          </w:p>
        </w:tc>
      </w:tr>
      <w:tr w:rsidR="00076C4A" w:rsidRPr="00FB2906" w14:paraId="5BAF2866" w14:textId="77777777" w:rsidTr="00E435E4">
        <w:trPr>
          <w:trHeight w:val="340"/>
        </w:trPr>
        <w:tc>
          <w:tcPr>
            <w:tcW w:w="5046" w:type="dxa"/>
          </w:tcPr>
          <w:p w14:paraId="27D90342" w14:textId="77777777" w:rsidR="00076C4A" w:rsidRPr="00FB2906" w:rsidRDefault="00076C4A" w:rsidP="00E435E4">
            <w:pPr>
              <w:spacing w:line="276" w:lineRule="auto"/>
              <w:ind w:right="91"/>
              <w:rPr>
                <w:b/>
              </w:rPr>
            </w:pPr>
            <w:r w:rsidRPr="00FB2906">
              <w:rPr>
                <w:b/>
              </w:rPr>
              <w:t>Net cash inflow from operating activities</w:t>
            </w:r>
          </w:p>
        </w:tc>
        <w:tc>
          <w:tcPr>
            <w:tcW w:w="809" w:type="dxa"/>
            <w:vAlign w:val="center"/>
          </w:tcPr>
          <w:p w14:paraId="4B5EC7C7" w14:textId="77777777" w:rsidR="00076C4A" w:rsidRPr="00FB2906" w:rsidRDefault="00076C4A" w:rsidP="00E435E4">
            <w:pPr>
              <w:spacing w:line="276" w:lineRule="auto"/>
              <w:ind w:right="91"/>
              <w:jc w:val="center"/>
            </w:pPr>
          </w:p>
        </w:tc>
        <w:tc>
          <w:tcPr>
            <w:tcW w:w="1531" w:type="dxa"/>
            <w:tcBorders>
              <w:top w:val="single" w:sz="4" w:space="0" w:color="auto"/>
              <w:bottom w:val="single" w:sz="4" w:space="0" w:color="auto"/>
            </w:tcBorders>
            <w:vAlign w:val="center"/>
          </w:tcPr>
          <w:p w14:paraId="0E22FE1B" w14:textId="77777777" w:rsidR="00076C4A" w:rsidRPr="00FB2906" w:rsidRDefault="00076C4A" w:rsidP="00E435E4">
            <w:pPr>
              <w:spacing w:line="276" w:lineRule="auto"/>
              <w:ind w:right="91"/>
              <w:jc w:val="right"/>
              <w:rPr>
                <w:b/>
              </w:rPr>
            </w:pPr>
            <w:r w:rsidRPr="00FB2906">
              <w:rPr>
                <w:b/>
              </w:rPr>
              <w:fldChar w:fldCharType="begin"/>
            </w:r>
            <w:r w:rsidRPr="00FB2906">
              <w:rPr>
                <w:b/>
              </w:rPr>
              <w:instrText xml:space="preserve"> =c4+c5+c6 \# "#,##0;(#,##0)" </w:instrText>
            </w:r>
            <w:r w:rsidRPr="00FB2906">
              <w:rPr>
                <w:b/>
              </w:rPr>
              <w:fldChar w:fldCharType="separate"/>
            </w:r>
            <w:r w:rsidRPr="00FB2906">
              <w:rPr>
                <w:b/>
                <w:noProof/>
              </w:rPr>
              <w:t>328,235</w:t>
            </w:r>
            <w:r w:rsidRPr="00FB2906">
              <w:rPr>
                <w:b/>
              </w:rPr>
              <w:fldChar w:fldCharType="end"/>
            </w:r>
          </w:p>
        </w:tc>
        <w:tc>
          <w:tcPr>
            <w:tcW w:w="1531" w:type="dxa"/>
            <w:tcBorders>
              <w:top w:val="single" w:sz="4" w:space="0" w:color="auto"/>
              <w:bottom w:val="single" w:sz="4" w:space="0" w:color="auto"/>
            </w:tcBorders>
            <w:vAlign w:val="center"/>
          </w:tcPr>
          <w:p w14:paraId="6F7AF8FE" w14:textId="77777777" w:rsidR="00076C4A" w:rsidRPr="00FB2906" w:rsidRDefault="00076C4A" w:rsidP="00E435E4">
            <w:pPr>
              <w:spacing w:line="276" w:lineRule="auto"/>
              <w:ind w:right="91"/>
              <w:jc w:val="right"/>
              <w:rPr>
                <w:b/>
              </w:rPr>
            </w:pPr>
            <w:r w:rsidRPr="00FB2906">
              <w:rPr>
                <w:b/>
              </w:rPr>
              <w:fldChar w:fldCharType="begin"/>
            </w:r>
            <w:r w:rsidRPr="00FB2906">
              <w:rPr>
                <w:b/>
              </w:rPr>
              <w:instrText xml:space="preserve"> =c4+c5+c6 \# "#,##0;(#,##0)" </w:instrText>
            </w:r>
            <w:r w:rsidRPr="00FB2906">
              <w:rPr>
                <w:b/>
              </w:rPr>
              <w:fldChar w:fldCharType="separate"/>
            </w:r>
            <w:r w:rsidRPr="00FB2906">
              <w:rPr>
                <w:b/>
                <w:noProof/>
              </w:rPr>
              <w:t>(29,979)</w:t>
            </w:r>
            <w:r w:rsidRPr="00FB2906">
              <w:rPr>
                <w:b/>
              </w:rPr>
              <w:fldChar w:fldCharType="end"/>
            </w:r>
          </w:p>
        </w:tc>
      </w:tr>
      <w:tr w:rsidR="00076C4A" w:rsidRPr="00FB2906" w14:paraId="220571C9" w14:textId="77777777" w:rsidTr="00E435E4">
        <w:trPr>
          <w:trHeight w:val="340"/>
        </w:trPr>
        <w:tc>
          <w:tcPr>
            <w:tcW w:w="5046" w:type="dxa"/>
          </w:tcPr>
          <w:p w14:paraId="69ADC245" w14:textId="77777777" w:rsidR="00076C4A" w:rsidRPr="00FB2906" w:rsidRDefault="00076C4A" w:rsidP="00E435E4">
            <w:pPr>
              <w:spacing w:line="276" w:lineRule="auto"/>
              <w:ind w:right="91"/>
            </w:pPr>
          </w:p>
        </w:tc>
        <w:tc>
          <w:tcPr>
            <w:tcW w:w="809" w:type="dxa"/>
            <w:vAlign w:val="center"/>
          </w:tcPr>
          <w:p w14:paraId="4A02BC83" w14:textId="77777777" w:rsidR="00076C4A" w:rsidRPr="00FB2906" w:rsidRDefault="00076C4A" w:rsidP="00E435E4">
            <w:pPr>
              <w:spacing w:line="276" w:lineRule="auto"/>
              <w:ind w:right="91"/>
            </w:pPr>
          </w:p>
        </w:tc>
        <w:tc>
          <w:tcPr>
            <w:tcW w:w="1531" w:type="dxa"/>
            <w:tcBorders>
              <w:top w:val="single" w:sz="4" w:space="0" w:color="auto"/>
            </w:tcBorders>
            <w:vAlign w:val="center"/>
          </w:tcPr>
          <w:p w14:paraId="6606D98F" w14:textId="77777777" w:rsidR="00076C4A" w:rsidRPr="00FB2906" w:rsidRDefault="00076C4A" w:rsidP="00E435E4">
            <w:pPr>
              <w:spacing w:line="276" w:lineRule="auto"/>
              <w:ind w:right="91"/>
              <w:jc w:val="right"/>
            </w:pPr>
          </w:p>
        </w:tc>
        <w:tc>
          <w:tcPr>
            <w:tcW w:w="1531" w:type="dxa"/>
            <w:tcBorders>
              <w:top w:val="single" w:sz="4" w:space="0" w:color="auto"/>
            </w:tcBorders>
            <w:vAlign w:val="center"/>
          </w:tcPr>
          <w:p w14:paraId="2FD53956" w14:textId="77777777" w:rsidR="00076C4A" w:rsidRPr="00FB2906" w:rsidRDefault="00076C4A" w:rsidP="00E435E4">
            <w:pPr>
              <w:spacing w:line="276" w:lineRule="auto"/>
              <w:ind w:right="91"/>
              <w:jc w:val="right"/>
            </w:pPr>
          </w:p>
        </w:tc>
      </w:tr>
      <w:tr w:rsidR="00076C4A" w:rsidRPr="00FB2906" w14:paraId="19DAF2D3" w14:textId="77777777" w:rsidTr="00E435E4">
        <w:trPr>
          <w:trHeight w:val="340"/>
        </w:trPr>
        <w:tc>
          <w:tcPr>
            <w:tcW w:w="5046" w:type="dxa"/>
          </w:tcPr>
          <w:p w14:paraId="45EAE1D1" w14:textId="77777777" w:rsidR="00076C4A" w:rsidRPr="00FB2906" w:rsidRDefault="00076C4A" w:rsidP="00E435E4">
            <w:pPr>
              <w:spacing w:line="276" w:lineRule="auto"/>
              <w:ind w:right="91"/>
              <w:rPr>
                <w:b/>
              </w:rPr>
            </w:pPr>
            <w:r w:rsidRPr="00FB2906">
              <w:rPr>
                <w:b/>
              </w:rPr>
              <w:t>CASH FLOWS FROM INVESTING ACTIVITIES</w:t>
            </w:r>
          </w:p>
        </w:tc>
        <w:tc>
          <w:tcPr>
            <w:tcW w:w="809" w:type="dxa"/>
            <w:vAlign w:val="center"/>
          </w:tcPr>
          <w:p w14:paraId="5EE5F8CC" w14:textId="77777777" w:rsidR="00076C4A" w:rsidRPr="00FB2906" w:rsidRDefault="00076C4A" w:rsidP="00E435E4">
            <w:pPr>
              <w:spacing w:line="276" w:lineRule="auto"/>
              <w:ind w:right="91"/>
            </w:pPr>
          </w:p>
        </w:tc>
        <w:tc>
          <w:tcPr>
            <w:tcW w:w="1531" w:type="dxa"/>
            <w:vAlign w:val="center"/>
          </w:tcPr>
          <w:p w14:paraId="37869D33" w14:textId="77777777" w:rsidR="00076C4A" w:rsidRPr="00FB2906" w:rsidRDefault="00076C4A" w:rsidP="00E435E4">
            <w:pPr>
              <w:spacing w:line="276" w:lineRule="auto"/>
              <w:ind w:right="91"/>
              <w:jc w:val="right"/>
            </w:pPr>
          </w:p>
        </w:tc>
        <w:tc>
          <w:tcPr>
            <w:tcW w:w="1531" w:type="dxa"/>
            <w:vAlign w:val="center"/>
          </w:tcPr>
          <w:p w14:paraId="4249875E" w14:textId="77777777" w:rsidR="00076C4A" w:rsidRPr="00FB2906" w:rsidRDefault="00076C4A" w:rsidP="00E435E4">
            <w:pPr>
              <w:spacing w:line="276" w:lineRule="auto"/>
              <w:ind w:right="91"/>
              <w:jc w:val="right"/>
            </w:pPr>
          </w:p>
        </w:tc>
      </w:tr>
      <w:tr w:rsidR="00076C4A" w:rsidRPr="00FB2906" w14:paraId="1ED3A06D" w14:textId="77777777" w:rsidTr="00E435E4">
        <w:trPr>
          <w:trHeight w:val="340"/>
        </w:trPr>
        <w:tc>
          <w:tcPr>
            <w:tcW w:w="5046" w:type="dxa"/>
          </w:tcPr>
          <w:p w14:paraId="7FA23BAD" w14:textId="77777777" w:rsidR="00076C4A" w:rsidRPr="00FB2906" w:rsidRDefault="00076C4A" w:rsidP="00E435E4">
            <w:pPr>
              <w:spacing w:line="276" w:lineRule="auto"/>
              <w:ind w:right="91"/>
            </w:pPr>
            <w:r w:rsidRPr="00FB2906">
              <w:t>Payments for office equipment</w:t>
            </w:r>
          </w:p>
        </w:tc>
        <w:tc>
          <w:tcPr>
            <w:tcW w:w="809" w:type="dxa"/>
            <w:vAlign w:val="center"/>
          </w:tcPr>
          <w:p w14:paraId="0DD85071" w14:textId="77777777" w:rsidR="00076C4A" w:rsidRPr="00FB2906" w:rsidRDefault="00076C4A" w:rsidP="00E435E4">
            <w:pPr>
              <w:spacing w:line="276" w:lineRule="auto"/>
              <w:ind w:right="91"/>
            </w:pPr>
          </w:p>
        </w:tc>
        <w:tc>
          <w:tcPr>
            <w:tcW w:w="1531" w:type="dxa"/>
            <w:shd w:val="clear" w:color="auto" w:fill="auto"/>
            <w:vAlign w:val="center"/>
          </w:tcPr>
          <w:p w14:paraId="3E92A471" w14:textId="77777777" w:rsidR="00076C4A" w:rsidRPr="00FB2906" w:rsidRDefault="00076C4A" w:rsidP="00E435E4">
            <w:pPr>
              <w:spacing w:line="276" w:lineRule="auto"/>
              <w:ind w:right="91"/>
              <w:jc w:val="right"/>
            </w:pPr>
            <w:r w:rsidRPr="00FB2906">
              <w:t>(6,110)</w:t>
            </w:r>
          </w:p>
        </w:tc>
        <w:tc>
          <w:tcPr>
            <w:tcW w:w="1531" w:type="dxa"/>
            <w:shd w:val="clear" w:color="auto" w:fill="auto"/>
            <w:vAlign w:val="center"/>
          </w:tcPr>
          <w:p w14:paraId="1ABB4F08" w14:textId="77777777" w:rsidR="00076C4A" w:rsidRPr="00FB2906" w:rsidRDefault="00076C4A" w:rsidP="00E435E4">
            <w:pPr>
              <w:spacing w:line="276" w:lineRule="auto"/>
              <w:ind w:right="91"/>
              <w:jc w:val="right"/>
            </w:pPr>
            <w:r w:rsidRPr="00FB2906">
              <w:t>(6,973)</w:t>
            </w:r>
          </w:p>
        </w:tc>
      </w:tr>
      <w:tr w:rsidR="00076C4A" w:rsidRPr="00FB2906" w14:paraId="01039C43" w14:textId="77777777" w:rsidTr="00E435E4">
        <w:trPr>
          <w:trHeight w:val="340"/>
        </w:trPr>
        <w:tc>
          <w:tcPr>
            <w:tcW w:w="5046" w:type="dxa"/>
          </w:tcPr>
          <w:p w14:paraId="37BE4A1E" w14:textId="77777777" w:rsidR="00076C4A" w:rsidRPr="00FB2906" w:rsidRDefault="00076C4A" w:rsidP="00E435E4">
            <w:pPr>
              <w:spacing w:line="276" w:lineRule="auto"/>
              <w:ind w:right="91"/>
            </w:pPr>
            <w:r w:rsidRPr="00FB2906">
              <w:t>Payments for intangible assets</w:t>
            </w:r>
          </w:p>
          <w:p w14:paraId="1A2E368B" w14:textId="77777777" w:rsidR="00076C4A" w:rsidRPr="00FB2906" w:rsidRDefault="00076C4A" w:rsidP="00E435E4">
            <w:pPr>
              <w:spacing w:line="276" w:lineRule="auto"/>
              <w:ind w:right="91"/>
            </w:pPr>
            <w:r w:rsidRPr="00FB2906">
              <w:t>Proceeds from office equipment</w:t>
            </w:r>
          </w:p>
        </w:tc>
        <w:tc>
          <w:tcPr>
            <w:tcW w:w="809" w:type="dxa"/>
            <w:vAlign w:val="center"/>
          </w:tcPr>
          <w:p w14:paraId="79EF3D92" w14:textId="77777777" w:rsidR="00076C4A" w:rsidRPr="00FB2906" w:rsidRDefault="00076C4A" w:rsidP="00E435E4">
            <w:pPr>
              <w:spacing w:line="276" w:lineRule="auto"/>
              <w:ind w:right="91"/>
            </w:pPr>
          </w:p>
        </w:tc>
        <w:tc>
          <w:tcPr>
            <w:tcW w:w="1531" w:type="dxa"/>
            <w:vAlign w:val="center"/>
          </w:tcPr>
          <w:p w14:paraId="6A1A0A64" w14:textId="77777777" w:rsidR="00076C4A" w:rsidRPr="00FB2906" w:rsidRDefault="00076C4A" w:rsidP="00E435E4">
            <w:pPr>
              <w:spacing w:line="276" w:lineRule="auto"/>
              <w:ind w:right="91"/>
              <w:jc w:val="right"/>
            </w:pPr>
            <w:r w:rsidRPr="00FB2906">
              <w:t>(22,920)</w:t>
            </w:r>
          </w:p>
          <w:p w14:paraId="040D7E04" w14:textId="77777777" w:rsidR="00076C4A" w:rsidRPr="00FB2906" w:rsidRDefault="00076C4A" w:rsidP="00E435E4">
            <w:pPr>
              <w:spacing w:line="276" w:lineRule="auto"/>
              <w:ind w:right="91"/>
              <w:jc w:val="right"/>
            </w:pPr>
            <w:r w:rsidRPr="00FB2906">
              <w:t>647</w:t>
            </w:r>
          </w:p>
        </w:tc>
        <w:tc>
          <w:tcPr>
            <w:tcW w:w="1531" w:type="dxa"/>
            <w:vAlign w:val="center"/>
          </w:tcPr>
          <w:p w14:paraId="14A81135" w14:textId="77777777" w:rsidR="00076C4A" w:rsidRPr="00FB2906" w:rsidRDefault="00076C4A" w:rsidP="00E435E4">
            <w:pPr>
              <w:spacing w:line="276" w:lineRule="auto"/>
              <w:ind w:right="91"/>
              <w:jc w:val="right"/>
            </w:pPr>
            <w:r w:rsidRPr="00FB2906">
              <w:t>(22,920)</w:t>
            </w:r>
          </w:p>
          <w:p w14:paraId="0EA8E91C" w14:textId="77777777" w:rsidR="00076C4A" w:rsidRPr="00FB2906" w:rsidRDefault="00076C4A" w:rsidP="00E435E4">
            <w:pPr>
              <w:spacing w:line="276" w:lineRule="auto"/>
              <w:ind w:right="91"/>
              <w:jc w:val="right"/>
            </w:pPr>
          </w:p>
        </w:tc>
      </w:tr>
      <w:tr w:rsidR="00076C4A" w:rsidRPr="00FB2906" w14:paraId="5BEEA9A7" w14:textId="77777777" w:rsidTr="00E435E4">
        <w:trPr>
          <w:trHeight w:val="340"/>
        </w:trPr>
        <w:tc>
          <w:tcPr>
            <w:tcW w:w="5046" w:type="dxa"/>
          </w:tcPr>
          <w:p w14:paraId="028E5597" w14:textId="77777777" w:rsidR="00076C4A" w:rsidRPr="00FB2906" w:rsidRDefault="00076C4A" w:rsidP="00E435E4">
            <w:pPr>
              <w:spacing w:line="276" w:lineRule="auto"/>
              <w:ind w:right="91"/>
              <w:rPr>
                <w:b/>
              </w:rPr>
            </w:pPr>
            <w:r w:rsidRPr="00FB2906">
              <w:rPr>
                <w:b/>
              </w:rPr>
              <w:t>Net cash (outflow) from investing activities</w:t>
            </w:r>
          </w:p>
        </w:tc>
        <w:tc>
          <w:tcPr>
            <w:tcW w:w="809" w:type="dxa"/>
            <w:vAlign w:val="center"/>
          </w:tcPr>
          <w:p w14:paraId="29762B85" w14:textId="77777777" w:rsidR="00076C4A" w:rsidRPr="00FB2906" w:rsidRDefault="00076C4A" w:rsidP="00E435E4">
            <w:pPr>
              <w:spacing w:line="276" w:lineRule="auto"/>
              <w:ind w:right="91"/>
            </w:pPr>
          </w:p>
        </w:tc>
        <w:tc>
          <w:tcPr>
            <w:tcW w:w="1531" w:type="dxa"/>
            <w:tcBorders>
              <w:top w:val="single" w:sz="4" w:space="0" w:color="auto"/>
              <w:bottom w:val="single" w:sz="4" w:space="0" w:color="auto"/>
            </w:tcBorders>
            <w:vAlign w:val="center"/>
          </w:tcPr>
          <w:p w14:paraId="35704BFE" w14:textId="77777777" w:rsidR="00076C4A" w:rsidRPr="00FB2906" w:rsidRDefault="00076C4A" w:rsidP="00E435E4">
            <w:pPr>
              <w:spacing w:line="276" w:lineRule="auto"/>
              <w:ind w:right="91"/>
              <w:jc w:val="right"/>
              <w:rPr>
                <w:b/>
              </w:rPr>
            </w:pPr>
            <w:r w:rsidRPr="00FB2906">
              <w:rPr>
                <w:b/>
                <w:lang w:val="en-US"/>
              </w:rPr>
              <w:fldChar w:fldCharType="begin"/>
            </w:r>
            <w:r w:rsidRPr="00FB2906">
              <w:rPr>
                <w:b/>
                <w:lang w:val="en-US"/>
              </w:rPr>
              <w:instrText xml:space="preserve"> =c10+c11 \# "#,##0;(#,##0)" </w:instrText>
            </w:r>
            <w:r w:rsidRPr="00FB2906">
              <w:rPr>
                <w:b/>
                <w:lang w:val="en-US"/>
              </w:rPr>
              <w:fldChar w:fldCharType="separate"/>
            </w:r>
            <w:r w:rsidRPr="00FB2906">
              <w:rPr>
                <w:b/>
                <w:noProof/>
                <w:lang w:val="en-US"/>
              </w:rPr>
              <w:t>(28,383)</w:t>
            </w:r>
            <w:r w:rsidRPr="00FB2906">
              <w:rPr>
                <w:b/>
                <w:lang w:val="en-US"/>
              </w:rPr>
              <w:fldChar w:fldCharType="end"/>
            </w:r>
          </w:p>
        </w:tc>
        <w:tc>
          <w:tcPr>
            <w:tcW w:w="1531" w:type="dxa"/>
            <w:tcBorders>
              <w:top w:val="single" w:sz="4" w:space="0" w:color="auto"/>
              <w:bottom w:val="single" w:sz="4" w:space="0" w:color="auto"/>
            </w:tcBorders>
            <w:vAlign w:val="center"/>
          </w:tcPr>
          <w:p w14:paraId="30202315" w14:textId="77777777" w:rsidR="00076C4A" w:rsidRPr="00FB2906" w:rsidRDefault="00076C4A" w:rsidP="00E435E4">
            <w:pPr>
              <w:spacing w:line="276" w:lineRule="auto"/>
              <w:ind w:right="91"/>
              <w:jc w:val="right"/>
              <w:rPr>
                <w:b/>
              </w:rPr>
            </w:pPr>
            <w:r w:rsidRPr="00FB2906">
              <w:rPr>
                <w:b/>
                <w:lang w:val="en-US"/>
              </w:rPr>
              <w:fldChar w:fldCharType="begin"/>
            </w:r>
            <w:r w:rsidRPr="00FB2906">
              <w:rPr>
                <w:b/>
                <w:lang w:val="en-US"/>
              </w:rPr>
              <w:instrText xml:space="preserve"> =c10+c11 \# "#,##0;(#,##0)" </w:instrText>
            </w:r>
            <w:r w:rsidRPr="00FB2906">
              <w:rPr>
                <w:b/>
                <w:lang w:val="en-US"/>
              </w:rPr>
              <w:fldChar w:fldCharType="separate"/>
            </w:r>
            <w:r w:rsidRPr="00FB2906">
              <w:rPr>
                <w:b/>
                <w:noProof/>
                <w:lang w:val="en-US"/>
              </w:rPr>
              <w:t>(29,893)</w:t>
            </w:r>
            <w:r w:rsidRPr="00FB2906">
              <w:rPr>
                <w:b/>
                <w:lang w:val="en-US"/>
              </w:rPr>
              <w:fldChar w:fldCharType="end"/>
            </w:r>
          </w:p>
        </w:tc>
      </w:tr>
      <w:tr w:rsidR="00076C4A" w:rsidRPr="00FB2906" w14:paraId="567E5FB3" w14:textId="77777777" w:rsidTr="00E435E4">
        <w:trPr>
          <w:trHeight w:val="340"/>
        </w:trPr>
        <w:tc>
          <w:tcPr>
            <w:tcW w:w="5046" w:type="dxa"/>
          </w:tcPr>
          <w:p w14:paraId="6DEF6161" w14:textId="77777777" w:rsidR="00076C4A" w:rsidRPr="00FB2906" w:rsidRDefault="00076C4A" w:rsidP="00E435E4">
            <w:pPr>
              <w:spacing w:line="276" w:lineRule="auto"/>
              <w:ind w:right="91"/>
              <w:rPr>
                <w:b/>
              </w:rPr>
            </w:pPr>
          </w:p>
          <w:p w14:paraId="1377ADCB" w14:textId="77777777" w:rsidR="00076C4A" w:rsidRPr="00FB2906" w:rsidRDefault="00076C4A" w:rsidP="00E435E4">
            <w:pPr>
              <w:spacing w:line="276" w:lineRule="auto"/>
              <w:ind w:right="91"/>
            </w:pPr>
            <w:r w:rsidRPr="00FB2906">
              <w:rPr>
                <w:b/>
              </w:rPr>
              <w:t>CASH FLOWS FROM FINANCING ACTIVITIES</w:t>
            </w:r>
          </w:p>
        </w:tc>
        <w:tc>
          <w:tcPr>
            <w:tcW w:w="809" w:type="dxa"/>
            <w:vAlign w:val="center"/>
          </w:tcPr>
          <w:p w14:paraId="7152F96B" w14:textId="77777777" w:rsidR="00076C4A" w:rsidRPr="00FB2906" w:rsidRDefault="00076C4A" w:rsidP="00E435E4">
            <w:pPr>
              <w:spacing w:line="276" w:lineRule="auto"/>
              <w:ind w:right="91"/>
            </w:pPr>
          </w:p>
        </w:tc>
        <w:tc>
          <w:tcPr>
            <w:tcW w:w="1531" w:type="dxa"/>
            <w:tcBorders>
              <w:top w:val="single" w:sz="4" w:space="0" w:color="auto"/>
            </w:tcBorders>
            <w:vAlign w:val="center"/>
          </w:tcPr>
          <w:p w14:paraId="17377250" w14:textId="77777777" w:rsidR="00076C4A" w:rsidRPr="00FB2906" w:rsidRDefault="00076C4A" w:rsidP="00E435E4">
            <w:pPr>
              <w:spacing w:line="276" w:lineRule="auto"/>
              <w:ind w:right="91"/>
              <w:jc w:val="right"/>
            </w:pPr>
          </w:p>
        </w:tc>
        <w:tc>
          <w:tcPr>
            <w:tcW w:w="1531" w:type="dxa"/>
            <w:tcBorders>
              <w:top w:val="single" w:sz="4" w:space="0" w:color="auto"/>
            </w:tcBorders>
            <w:vAlign w:val="center"/>
          </w:tcPr>
          <w:p w14:paraId="45292507" w14:textId="77777777" w:rsidR="00076C4A" w:rsidRPr="00FB2906" w:rsidRDefault="00076C4A" w:rsidP="00E435E4">
            <w:pPr>
              <w:spacing w:line="276" w:lineRule="auto"/>
              <w:ind w:right="91"/>
              <w:jc w:val="right"/>
            </w:pPr>
          </w:p>
        </w:tc>
      </w:tr>
      <w:tr w:rsidR="00076C4A" w:rsidRPr="00FB2906" w14:paraId="4334E3FC" w14:textId="77777777" w:rsidTr="00E435E4">
        <w:trPr>
          <w:trHeight w:val="340"/>
        </w:trPr>
        <w:tc>
          <w:tcPr>
            <w:tcW w:w="5046" w:type="dxa"/>
          </w:tcPr>
          <w:p w14:paraId="492A2DEB" w14:textId="77777777" w:rsidR="00076C4A" w:rsidRPr="00FB2906" w:rsidRDefault="00076C4A" w:rsidP="00E435E4">
            <w:pPr>
              <w:spacing w:line="276" w:lineRule="auto"/>
              <w:ind w:right="91"/>
            </w:pPr>
            <w:r w:rsidRPr="00FB2906">
              <w:t>Lease liability</w:t>
            </w:r>
          </w:p>
          <w:p w14:paraId="72306CAE" w14:textId="77777777" w:rsidR="00076C4A" w:rsidRPr="00FB2906" w:rsidRDefault="00076C4A" w:rsidP="00E435E4">
            <w:pPr>
              <w:spacing w:line="276" w:lineRule="auto"/>
              <w:ind w:right="91"/>
            </w:pPr>
            <w:r w:rsidRPr="00FB2906">
              <w:t>Interest</w:t>
            </w:r>
          </w:p>
        </w:tc>
        <w:tc>
          <w:tcPr>
            <w:tcW w:w="809" w:type="dxa"/>
            <w:vAlign w:val="center"/>
          </w:tcPr>
          <w:p w14:paraId="46C64705" w14:textId="77777777" w:rsidR="00076C4A" w:rsidRPr="00FB2906" w:rsidRDefault="00076C4A" w:rsidP="00E435E4">
            <w:pPr>
              <w:spacing w:line="276" w:lineRule="auto"/>
              <w:ind w:right="91"/>
            </w:pPr>
          </w:p>
        </w:tc>
        <w:tc>
          <w:tcPr>
            <w:tcW w:w="1531" w:type="dxa"/>
            <w:tcBorders>
              <w:bottom w:val="single" w:sz="4" w:space="0" w:color="auto"/>
            </w:tcBorders>
            <w:vAlign w:val="center"/>
          </w:tcPr>
          <w:p w14:paraId="3F9F75BD" w14:textId="77777777" w:rsidR="00076C4A" w:rsidRPr="00FB2906" w:rsidRDefault="00076C4A" w:rsidP="00E435E4">
            <w:pPr>
              <w:spacing w:line="276" w:lineRule="auto"/>
              <w:ind w:right="91"/>
              <w:jc w:val="right"/>
            </w:pPr>
            <w:r w:rsidRPr="00FB2906">
              <w:t>(113,042)</w:t>
            </w:r>
          </w:p>
          <w:p w14:paraId="6374B537" w14:textId="77777777" w:rsidR="00076C4A" w:rsidRPr="00FB2906" w:rsidRDefault="00076C4A" w:rsidP="00E435E4">
            <w:pPr>
              <w:spacing w:line="276" w:lineRule="auto"/>
              <w:ind w:right="91"/>
              <w:jc w:val="right"/>
            </w:pPr>
            <w:r w:rsidRPr="00FB2906">
              <w:t>(9,107)</w:t>
            </w:r>
          </w:p>
        </w:tc>
        <w:tc>
          <w:tcPr>
            <w:tcW w:w="1531" w:type="dxa"/>
            <w:tcBorders>
              <w:bottom w:val="single" w:sz="4" w:space="0" w:color="auto"/>
            </w:tcBorders>
            <w:vAlign w:val="center"/>
          </w:tcPr>
          <w:p w14:paraId="0F58EBDB" w14:textId="77777777" w:rsidR="00076C4A" w:rsidRPr="00FB2906" w:rsidRDefault="00076C4A" w:rsidP="00E435E4">
            <w:pPr>
              <w:spacing w:line="276" w:lineRule="auto"/>
              <w:ind w:right="91"/>
              <w:jc w:val="right"/>
            </w:pPr>
          </w:p>
          <w:p w14:paraId="615CE11C" w14:textId="77777777" w:rsidR="00076C4A" w:rsidRPr="00FB2906" w:rsidRDefault="00076C4A" w:rsidP="00E435E4">
            <w:pPr>
              <w:spacing w:line="276" w:lineRule="auto"/>
              <w:ind w:right="91"/>
              <w:jc w:val="right"/>
            </w:pPr>
          </w:p>
        </w:tc>
      </w:tr>
      <w:tr w:rsidR="00076C4A" w:rsidRPr="00FB2906" w14:paraId="0BB0571B" w14:textId="77777777" w:rsidTr="00E435E4">
        <w:trPr>
          <w:trHeight w:val="340"/>
        </w:trPr>
        <w:tc>
          <w:tcPr>
            <w:tcW w:w="5046" w:type="dxa"/>
          </w:tcPr>
          <w:p w14:paraId="5F1B1B34" w14:textId="77777777" w:rsidR="00076C4A" w:rsidRPr="00FB2906" w:rsidRDefault="00076C4A" w:rsidP="00E435E4">
            <w:pPr>
              <w:spacing w:line="276" w:lineRule="auto"/>
              <w:ind w:right="91"/>
            </w:pPr>
            <w:r w:rsidRPr="00FB2906">
              <w:rPr>
                <w:b/>
              </w:rPr>
              <w:t>Net cash (outflow) from financing activities</w:t>
            </w:r>
          </w:p>
        </w:tc>
        <w:tc>
          <w:tcPr>
            <w:tcW w:w="809" w:type="dxa"/>
            <w:vAlign w:val="center"/>
          </w:tcPr>
          <w:p w14:paraId="2DEF7FDF" w14:textId="77777777" w:rsidR="00076C4A" w:rsidRPr="00FB2906" w:rsidRDefault="00076C4A" w:rsidP="00E435E4">
            <w:pPr>
              <w:spacing w:line="276" w:lineRule="auto"/>
              <w:ind w:right="91"/>
            </w:pPr>
          </w:p>
        </w:tc>
        <w:tc>
          <w:tcPr>
            <w:tcW w:w="1531" w:type="dxa"/>
            <w:tcBorders>
              <w:top w:val="single" w:sz="4" w:space="0" w:color="auto"/>
              <w:bottom w:val="single" w:sz="4" w:space="0" w:color="auto"/>
            </w:tcBorders>
            <w:shd w:val="clear" w:color="auto" w:fill="auto"/>
            <w:vAlign w:val="center"/>
          </w:tcPr>
          <w:p w14:paraId="580949A7" w14:textId="77777777" w:rsidR="00076C4A" w:rsidRPr="00FB2906" w:rsidRDefault="00076C4A" w:rsidP="00E435E4">
            <w:pPr>
              <w:spacing w:line="276" w:lineRule="auto"/>
              <w:ind w:right="91"/>
              <w:jc w:val="right"/>
              <w:rPr>
                <w:b/>
                <w:bCs/>
              </w:rPr>
            </w:pPr>
            <w:r w:rsidRPr="00FB2906">
              <w:rPr>
                <w:b/>
                <w:bCs/>
              </w:rPr>
              <w:fldChar w:fldCharType="begin"/>
            </w:r>
            <w:r w:rsidRPr="00FB2906">
              <w:rPr>
                <w:b/>
                <w:bCs/>
              </w:rPr>
              <w:instrText xml:space="preserve"> =c10+c11 \# "#,##0;(#,##0)" </w:instrText>
            </w:r>
            <w:r w:rsidRPr="00FB2906">
              <w:rPr>
                <w:b/>
                <w:bCs/>
              </w:rPr>
              <w:fldChar w:fldCharType="separate"/>
            </w:r>
            <w:r w:rsidRPr="00FB2906">
              <w:rPr>
                <w:b/>
                <w:bCs/>
              </w:rPr>
              <w:t>(122,149)</w:t>
            </w:r>
            <w:r w:rsidRPr="00FB2906">
              <w:rPr>
                <w:b/>
                <w:bCs/>
              </w:rPr>
              <w:fldChar w:fldCharType="end"/>
            </w:r>
          </w:p>
        </w:tc>
        <w:tc>
          <w:tcPr>
            <w:tcW w:w="1531" w:type="dxa"/>
            <w:tcBorders>
              <w:top w:val="single" w:sz="4" w:space="0" w:color="auto"/>
              <w:bottom w:val="single" w:sz="4" w:space="0" w:color="auto"/>
            </w:tcBorders>
            <w:shd w:val="clear" w:color="auto" w:fill="auto"/>
            <w:vAlign w:val="center"/>
          </w:tcPr>
          <w:p w14:paraId="775B7BFC" w14:textId="77777777" w:rsidR="00076C4A" w:rsidRPr="00FB2906" w:rsidRDefault="00076C4A" w:rsidP="00E435E4">
            <w:pPr>
              <w:spacing w:line="276" w:lineRule="auto"/>
              <w:ind w:right="91"/>
              <w:jc w:val="right"/>
              <w:rPr>
                <w:b/>
                <w:bCs/>
              </w:rPr>
            </w:pPr>
            <w:r w:rsidRPr="00FB2906">
              <w:rPr>
                <w:b/>
                <w:bCs/>
              </w:rPr>
              <w:t>0</w:t>
            </w:r>
          </w:p>
        </w:tc>
      </w:tr>
      <w:tr w:rsidR="00076C4A" w:rsidRPr="00FB2906" w14:paraId="34566F04" w14:textId="77777777" w:rsidTr="00E435E4">
        <w:trPr>
          <w:trHeight w:val="340"/>
        </w:trPr>
        <w:tc>
          <w:tcPr>
            <w:tcW w:w="5046" w:type="dxa"/>
          </w:tcPr>
          <w:p w14:paraId="070A514C" w14:textId="77777777" w:rsidR="00076C4A" w:rsidRPr="00FB2906" w:rsidRDefault="00076C4A" w:rsidP="00E435E4">
            <w:pPr>
              <w:spacing w:line="276" w:lineRule="auto"/>
              <w:ind w:right="91"/>
            </w:pPr>
          </w:p>
        </w:tc>
        <w:tc>
          <w:tcPr>
            <w:tcW w:w="809" w:type="dxa"/>
            <w:vAlign w:val="center"/>
          </w:tcPr>
          <w:p w14:paraId="31DD83B6" w14:textId="77777777" w:rsidR="00076C4A" w:rsidRPr="00FB2906" w:rsidRDefault="00076C4A" w:rsidP="00E435E4">
            <w:pPr>
              <w:spacing w:line="276" w:lineRule="auto"/>
              <w:ind w:right="91"/>
            </w:pPr>
          </w:p>
        </w:tc>
        <w:tc>
          <w:tcPr>
            <w:tcW w:w="1531" w:type="dxa"/>
            <w:tcBorders>
              <w:top w:val="single" w:sz="4" w:space="0" w:color="auto"/>
            </w:tcBorders>
            <w:vAlign w:val="center"/>
          </w:tcPr>
          <w:p w14:paraId="1A12B250" w14:textId="77777777" w:rsidR="00076C4A" w:rsidRPr="00FB2906" w:rsidRDefault="00076C4A" w:rsidP="00E435E4">
            <w:pPr>
              <w:spacing w:line="276" w:lineRule="auto"/>
              <w:ind w:right="91"/>
              <w:jc w:val="right"/>
            </w:pPr>
          </w:p>
        </w:tc>
        <w:tc>
          <w:tcPr>
            <w:tcW w:w="1531" w:type="dxa"/>
            <w:tcBorders>
              <w:top w:val="single" w:sz="4" w:space="0" w:color="auto"/>
            </w:tcBorders>
            <w:vAlign w:val="center"/>
          </w:tcPr>
          <w:p w14:paraId="5A4F6EB1" w14:textId="77777777" w:rsidR="00076C4A" w:rsidRPr="00FB2906" w:rsidRDefault="00076C4A" w:rsidP="00E435E4">
            <w:pPr>
              <w:spacing w:line="276" w:lineRule="auto"/>
              <w:ind w:right="91"/>
              <w:jc w:val="right"/>
            </w:pPr>
          </w:p>
        </w:tc>
      </w:tr>
      <w:tr w:rsidR="00076C4A" w:rsidRPr="00FB2906" w14:paraId="53C316CD" w14:textId="77777777" w:rsidTr="00E435E4">
        <w:trPr>
          <w:trHeight w:val="340"/>
        </w:trPr>
        <w:tc>
          <w:tcPr>
            <w:tcW w:w="5046" w:type="dxa"/>
          </w:tcPr>
          <w:p w14:paraId="72EDC9D0" w14:textId="77777777" w:rsidR="00076C4A" w:rsidRPr="00FB2906" w:rsidRDefault="00076C4A" w:rsidP="00E435E4">
            <w:pPr>
              <w:spacing w:line="276" w:lineRule="auto"/>
              <w:ind w:right="91"/>
              <w:rPr>
                <w:b/>
                <w:bCs/>
              </w:rPr>
            </w:pPr>
            <w:r w:rsidRPr="00FB2906">
              <w:rPr>
                <w:b/>
                <w:bCs/>
              </w:rPr>
              <w:t>Net increase (decrease) in cash and cash equivalents</w:t>
            </w:r>
          </w:p>
          <w:p w14:paraId="276416D7" w14:textId="77777777" w:rsidR="00076C4A" w:rsidRPr="00FB2906" w:rsidRDefault="00076C4A" w:rsidP="00E435E4">
            <w:pPr>
              <w:spacing w:line="276" w:lineRule="auto"/>
              <w:ind w:right="91"/>
              <w:rPr>
                <w:b/>
                <w:bCs/>
              </w:rPr>
            </w:pPr>
          </w:p>
          <w:p w14:paraId="45CD0DB2" w14:textId="77777777" w:rsidR="00076C4A" w:rsidRPr="00FB2906" w:rsidRDefault="00076C4A" w:rsidP="00E435E4">
            <w:pPr>
              <w:spacing w:line="276" w:lineRule="auto"/>
              <w:ind w:right="91"/>
            </w:pPr>
            <w:r w:rsidRPr="00FB2906">
              <w:t>Cash and cash equivalents at the beginning of financial year</w:t>
            </w:r>
          </w:p>
          <w:p w14:paraId="66934C77" w14:textId="77777777" w:rsidR="00076C4A" w:rsidRPr="00FB2906" w:rsidRDefault="00076C4A" w:rsidP="00E435E4">
            <w:pPr>
              <w:spacing w:line="276" w:lineRule="auto"/>
              <w:ind w:right="91"/>
              <w:rPr>
                <w:b/>
                <w:bCs/>
              </w:rPr>
            </w:pPr>
          </w:p>
        </w:tc>
        <w:tc>
          <w:tcPr>
            <w:tcW w:w="809" w:type="dxa"/>
            <w:vAlign w:val="center"/>
          </w:tcPr>
          <w:p w14:paraId="3BE9532A" w14:textId="77777777" w:rsidR="00076C4A" w:rsidRPr="00FB2906" w:rsidRDefault="00076C4A" w:rsidP="00E435E4">
            <w:pPr>
              <w:spacing w:line="276" w:lineRule="auto"/>
              <w:ind w:right="91"/>
            </w:pPr>
          </w:p>
        </w:tc>
        <w:tc>
          <w:tcPr>
            <w:tcW w:w="1531" w:type="dxa"/>
            <w:tcBorders>
              <w:bottom w:val="single" w:sz="4" w:space="0" w:color="auto"/>
            </w:tcBorders>
            <w:vAlign w:val="center"/>
          </w:tcPr>
          <w:p w14:paraId="0128353F" w14:textId="77777777" w:rsidR="00076C4A" w:rsidRPr="00FB2906" w:rsidRDefault="00076C4A" w:rsidP="00E435E4">
            <w:pPr>
              <w:spacing w:line="276" w:lineRule="auto"/>
              <w:ind w:right="91"/>
              <w:jc w:val="right"/>
              <w:rPr>
                <w:b/>
                <w:bCs/>
              </w:rPr>
            </w:pPr>
            <w:r w:rsidRPr="00FB2906">
              <w:rPr>
                <w:b/>
                <w:bCs/>
              </w:rPr>
              <w:t>177,703</w:t>
            </w:r>
          </w:p>
          <w:p w14:paraId="7E8F7432" w14:textId="77777777" w:rsidR="00076C4A" w:rsidRPr="00FB2906" w:rsidRDefault="00076C4A" w:rsidP="00E435E4">
            <w:pPr>
              <w:spacing w:line="276" w:lineRule="auto"/>
              <w:ind w:right="91"/>
              <w:jc w:val="right"/>
              <w:rPr>
                <w:b/>
                <w:bCs/>
              </w:rPr>
            </w:pPr>
          </w:p>
          <w:p w14:paraId="606998DA" w14:textId="77777777" w:rsidR="00076C4A" w:rsidRPr="00FB2906" w:rsidRDefault="00076C4A" w:rsidP="00E435E4">
            <w:pPr>
              <w:spacing w:line="276" w:lineRule="auto"/>
              <w:ind w:right="91"/>
              <w:jc w:val="right"/>
            </w:pPr>
            <w:r w:rsidRPr="00FB2906">
              <w:t>893,986</w:t>
            </w:r>
          </w:p>
        </w:tc>
        <w:tc>
          <w:tcPr>
            <w:tcW w:w="1531" w:type="dxa"/>
            <w:tcBorders>
              <w:bottom w:val="single" w:sz="4" w:space="0" w:color="auto"/>
            </w:tcBorders>
            <w:vAlign w:val="center"/>
          </w:tcPr>
          <w:p w14:paraId="4E19BDC8" w14:textId="77777777" w:rsidR="00076C4A" w:rsidRPr="00FB2906" w:rsidRDefault="00076C4A" w:rsidP="00E435E4">
            <w:pPr>
              <w:spacing w:line="276" w:lineRule="auto"/>
              <w:ind w:right="91"/>
              <w:jc w:val="right"/>
              <w:rPr>
                <w:b/>
                <w:bCs/>
              </w:rPr>
            </w:pPr>
            <w:r w:rsidRPr="00FB2906">
              <w:rPr>
                <w:b/>
                <w:bCs/>
              </w:rPr>
              <w:t>(59,872)</w:t>
            </w:r>
          </w:p>
          <w:p w14:paraId="4C9292A6" w14:textId="77777777" w:rsidR="00076C4A" w:rsidRPr="00FB2906" w:rsidRDefault="00076C4A" w:rsidP="00E435E4">
            <w:pPr>
              <w:spacing w:line="276" w:lineRule="auto"/>
              <w:ind w:right="91"/>
              <w:jc w:val="right"/>
              <w:rPr>
                <w:b/>
                <w:bCs/>
              </w:rPr>
            </w:pPr>
          </w:p>
          <w:p w14:paraId="2E10C0D9" w14:textId="77777777" w:rsidR="00076C4A" w:rsidRPr="00FB2906" w:rsidRDefault="00076C4A" w:rsidP="00E435E4">
            <w:pPr>
              <w:spacing w:line="276" w:lineRule="auto"/>
              <w:ind w:right="91"/>
              <w:jc w:val="right"/>
            </w:pPr>
            <w:r w:rsidRPr="00FB2906">
              <w:t>953,858</w:t>
            </w:r>
          </w:p>
        </w:tc>
      </w:tr>
      <w:tr w:rsidR="00076C4A" w:rsidRPr="00FB2906" w14:paraId="067C3911" w14:textId="77777777" w:rsidTr="00E435E4">
        <w:trPr>
          <w:trHeight w:val="340"/>
        </w:trPr>
        <w:tc>
          <w:tcPr>
            <w:tcW w:w="5046" w:type="dxa"/>
          </w:tcPr>
          <w:p w14:paraId="7E4EABBB" w14:textId="77777777" w:rsidR="00076C4A" w:rsidRPr="00FB2906" w:rsidRDefault="00076C4A" w:rsidP="00E435E4">
            <w:pPr>
              <w:spacing w:line="276" w:lineRule="auto"/>
              <w:ind w:right="91"/>
              <w:rPr>
                <w:b/>
              </w:rPr>
            </w:pPr>
            <w:r w:rsidRPr="00FB2906">
              <w:rPr>
                <w:b/>
              </w:rPr>
              <w:t>Cash and cash equivalents at the end of financial year</w:t>
            </w:r>
          </w:p>
        </w:tc>
        <w:tc>
          <w:tcPr>
            <w:tcW w:w="809" w:type="dxa"/>
            <w:vAlign w:val="center"/>
          </w:tcPr>
          <w:p w14:paraId="2B1F2F67" w14:textId="77777777" w:rsidR="00076C4A" w:rsidRPr="00FB2906" w:rsidRDefault="00076C4A" w:rsidP="00E435E4">
            <w:pPr>
              <w:spacing w:line="276" w:lineRule="auto"/>
              <w:ind w:right="91"/>
            </w:pPr>
          </w:p>
        </w:tc>
        <w:tc>
          <w:tcPr>
            <w:tcW w:w="1531" w:type="dxa"/>
            <w:tcBorders>
              <w:top w:val="single" w:sz="4" w:space="0" w:color="auto"/>
              <w:bottom w:val="single" w:sz="4" w:space="0" w:color="auto"/>
            </w:tcBorders>
            <w:vAlign w:val="center"/>
          </w:tcPr>
          <w:p w14:paraId="666A4FAB" w14:textId="77777777" w:rsidR="00076C4A" w:rsidRPr="00FB2906" w:rsidRDefault="00076C4A" w:rsidP="00E435E4">
            <w:pPr>
              <w:spacing w:line="276" w:lineRule="auto"/>
              <w:ind w:right="91"/>
              <w:jc w:val="right"/>
              <w:rPr>
                <w:b/>
              </w:rPr>
            </w:pPr>
            <w:r w:rsidRPr="00FB2906">
              <w:rPr>
                <w:b/>
              </w:rPr>
              <w:t>1,071,689</w:t>
            </w:r>
          </w:p>
        </w:tc>
        <w:tc>
          <w:tcPr>
            <w:tcW w:w="1531" w:type="dxa"/>
            <w:tcBorders>
              <w:top w:val="single" w:sz="4" w:space="0" w:color="auto"/>
              <w:bottom w:val="single" w:sz="4" w:space="0" w:color="auto"/>
            </w:tcBorders>
            <w:vAlign w:val="center"/>
          </w:tcPr>
          <w:p w14:paraId="177F3761" w14:textId="77777777" w:rsidR="00076C4A" w:rsidRPr="00FB2906" w:rsidRDefault="00076C4A" w:rsidP="00E435E4">
            <w:pPr>
              <w:spacing w:line="276" w:lineRule="auto"/>
              <w:ind w:right="91"/>
              <w:jc w:val="right"/>
              <w:rPr>
                <w:b/>
              </w:rPr>
            </w:pPr>
            <w:r w:rsidRPr="00FB2906">
              <w:rPr>
                <w:b/>
              </w:rPr>
              <w:fldChar w:fldCharType="begin"/>
            </w:r>
            <w:r w:rsidRPr="00FB2906">
              <w:rPr>
                <w:b/>
              </w:rPr>
              <w:instrText xml:space="preserve"> =c14+c16 \# "#,##0;(#,##0)" </w:instrText>
            </w:r>
            <w:r w:rsidRPr="00FB2906">
              <w:rPr>
                <w:b/>
              </w:rPr>
              <w:fldChar w:fldCharType="separate"/>
            </w:r>
            <w:r w:rsidRPr="00FB2906">
              <w:rPr>
                <w:b/>
                <w:noProof/>
              </w:rPr>
              <w:t>893,986</w:t>
            </w:r>
            <w:r w:rsidRPr="00FB2906">
              <w:rPr>
                <w:b/>
              </w:rPr>
              <w:fldChar w:fldCharType="end"/>
            </w:r>
          </w:p>
        </w:tc>
      </w:tr>
      <w:tr w:rsidR="00076C4A" w:rsidRPr="00FB2906" w14:paraId="03D8A1BE" w14:textId="77777777" w:rsidTr="00E435E4">
        <w:trPr>
          <w:trHeight w:val="340"/>
        </w:trPr>
        <w:tc>
          <w:tcPr>
            <w:tcW w:w="5046" w:type="dxa"/>
          </w:tcPr>
          <w:p w14:paraId="66A5F6D3" w14:textId="77777777" w:rsidR="00076C4A" w:rsidRPr="00FB2906" w:rsidRDefault="00076C4A" w:rsidP="00E435E4">
            <w:pPr>
              <w:spacing w:line="276" w:lineRule="auto"/>
              <w:ind w:right="91"/>
            </w:pPr>
          </w:p>
        </w:tc>
        <w:tc>
          <w:tcPr>
            <w:tcW w:w="809" w:type="dxa"/>
          </w:tcPr>
          <w:p w14:paraId="07FAD898" w14:textId="77777777" w:rsidR="00076C4A" w:rsidRPr="00FB2906" w:rsidRDefault="00076C4A" w:rsidP="00E435E4">
            <w:pPr>
              <w:spacing w:line="276" w:lineRule="auto"/>
              <w:ind w:right="91"/>
            </w:pPr>
          </w:p>
        </w:tc>
        <w:tc>
          <w:tcPr>
            <w:tcW w:w="1531" w:type="dxa"/>
            <w:tcBorders>
              <w:top w:val="single" w:sz="4" w:space="0" w:color="auto"/>
            </w:tcBorders>
            <w:vAlign w:val="center"/>
          </w:tcPr>
          <w:p w14:paraId="3D53EDD3" w14:textId="77777777" w:rsidR="00076C4A" w:rsidRPr="00FB2906" w:rsidRDefault="00076C4A" w:rsidP="00E435E4">
            <w:pPr>
              <w:spacing w:line="276" w:lineRule="auto"/>
              <w:ind w:right="91"/>
            </w:pPr>
          </w:p>
        </w:tc>
        <w:tc>
          <w:tcPr>
            <w:tcW w:w="1531" w:type="dxa"/>
            <w:tcBorders>
              <w:top w:val="single" w:sz="4" w:space="0" w:color="auto"/>
            </w:tcBorders>
            <w:vAlign w:val="center"/>
          </w:tcPr>
          <w:p w14:paraId="57D790BE" w14:textId="77777777" w:rsidR="00076C4A" w:rsidRPr="00FB2906" w:rsidRDefault="00076C4A" w:rsidP="00E435E4">
            <w:pPr>
              <w:spacing w:line="276" w:lineRule="auto"/>
              <w:ind w:right="91"/>
            </w:pPr>
          </w:p>
        </w:tc>
      </w:tr>
    </w:tbl>
    <w:p w14:paraId="49488BBC" w14:textId="5F595F93" w:rsidR="005C624C" w:rsidRDefault="005C624C" w:rsidP="00BE26EB"/>
    <w:p w14:paraId="02B475A1" w14:textId="77777777" w:rsidR="005C624C" w:rsidRDefault="005C624C">
      <w:pPr>
        <w:spacing w:before="0" w:beforeAutospacing="0" w:after="160" w:afterAutospacing="0" w:line="259" w:lineRule="auto"/>
      </w:pPr>
      <w:r>
        <w:br w:type="page"/>
      </w:r>
    </w:p>
    <w:p w14:paraId="7B755561" w14:textId="77777777" w:rsidR="00CE5669" w:rsidRDefault="00CE5669" w:rsidP="00BE26EB"/>
    <w:p w14:paraId="380D74E3" w14:textId="77777777" w:rsidR="00CE5669" w:rsidRPr="00CE5669" w:rsidRDefault="00CE5669" w:rsidP="001C0EE6">
      <w:pPr>
        <w:pStyle w:val="Heading1"/>
      </w:pPr>
      <w:bookmarkStart w:id="16" w:name="_CONTACT_US"/>
      <w:bookmarkEnd w:id="16"/>
      <w:r w:rsidRPr="00CE5669">
        <w:t>CONTACT US</w:t>
      </w:r>
    </w:p>
    <w:p w14:paraId="3E01DDC1" w14:textId="77777777" w:rsidR="00F95EA8" w:rsidRPr="00F95EA8" w:rsidRDefault="00F95EA8" w:rsidP="00F95EA8">
      <w:pPr>
        <w:pStyle w:val="Heading2"/>
      </w:pPr>
      <w:r w:rsidRPr="00F95EA8">
        <w:t>Telephone</w:t>
      </w:r>
    </w:p>
    <w:p w14:paraId="68A50A61" w14:textId="77777777" w:rsidR="00F95EA8" w:rsidRPr="00F95EA8" w:rsidRDefault="00A5132F" w:rsidP="00F95EA8">
      <w:hyperlink r:id="rId25" w:history="1">
        <w:r w:rsidR="00F95EA8" w:rsidRPr="00F95EA8">
          <w:rPr>
            <w:rStyle w:val="Hyperlink"/>
          </w:rPr>
          <w:t>1800 466 865</w:t>
        </w:r>
      </w:hyperlink>
      <w:r w:rsidR="00F95EA8" w:rsidRPr="00F95EA8">
        <w:t>*</w:t>
      </w:r>
    </w:p>
    <w:p w14:paraId="1E8C2034" w14:textId="77777777" w:rsidR="00F95EA8" w:rsidRPr="00F95EA8" w:rsidRDefault="00F95EA8" w:rsidP="00F95EA8">
      <w:pPr>
        <w:rPr>
          <w:i/>
          <w:iCs/>
        </w:rPr>
      </w:pPr>
      <w:r w:rsidRPr="00F95EA8">
        <w:rPr>
          <w:i/>
          <w:iCs/>
        </w:rPr>
        <w:t>* Free from landlines, standard rates apply for calls from mobiles. If you call from a mobile you can ask us to call you back.</w:t>
      </w:r>
    </w:p>
    <w:p w14:paraId="62A1C0DD" w14:textId="77777777" w:rsidR="00F95EA8" w:rsidRPr="00F95EA8" w:rsidRDefault="00F95EA8" w:rsidP="00F95EA8">
      <w:pPr>
        <w:pStyle w:val="Heading2"/>
      </w:pPr>
      <w:r w:rsidRPr="00F95EA8">
        <w:t>If you are deaf, or have a hearing or speech impairment you can contact us by:</w:t>
      </w:r>
    </w:p>
    <w:p w14:paraId="7270C862" w14:textId="77777777" w:rsidR="00F95EA8" w:rsidRPr="00F95EA8" w:rsidRDefault="00F95EA8" w:rsidP="00F95EA8">
      <w:pPr>
        <w:pStyle w:val="Heading3"/>
      </w:pPr>
      <w:r w:rsidRPr="00F95EA8">
        <w:t>National Relay Service (NRS)</w:t>
      </w:r>
    </w:p>
    <w:p w14:paraId="6BC4393B" w14:textId="77777777" w:rsidR="00F95EA8" w:rsidRPr="00F95EA8" w:rsidRDefault="00F95EA8" w:rsidP="00E30CDF">
      <w:pPr>
        <w:pStyle w:val="ListParagraph"/>
        <w:numPr>
          <w:ilvl w:val="0"/>
          <w:numId w:val="22"/>
        </w:numPr>
      </w:pPr>
      <w:r w:rsidRPr="00F95EA8">
        <w:t>Contacting the </w:t>
      </w:r>
      <w:hyperlink r:id="rId26" w:tgtFrame="_blank" w:history="1">
        <w:r w:rsidRPr="00F95EA8">
          <w:rPr>
            <w:rStyle w:val="Hyperlink"/>
          </w:rPr>
          <w:t>National Relay Service</w:t>
        </w:r>
      </w:hyperlink>
      <w:r w:rsidRPr="00F95EA8">
        <w:t> </w:t>
      </w:r>
    </w:p>
    <w:p w14:paraId="61D48059" w14:textId="77777777" w:rsidR="00F95EA8" w:rsidRPr="00F95EA8" w:rsidRDefault="00F95EA8" w:rsidP="00E30CDF">
      <w:pPr>
        <w:pStyle w:val="ListParagraph"/>
        <w:numPr>
          <w:ilvl w:val="0"/>
          <w:numId w:val="22"/>
        </w:numPr>
      </w:pPr>
      <w:r w:rsidRPr="00F95EA8">
        <w:t>Providing the NRS with the Public Transport Ombudsman number (1800 466 865).</w:t>
      </w:r>
    </w:p>
    <w:p w14:paraId="304CB02C" w14:textId="77777777" w:rsidR="00F95EA8" w:rsidRPr="00F95EA8" w:rsidRDefault="00F95EA8" w:rsidP="00F95EA8">
      <w:pPr>
        <w:pStyle w:val="Heading2"/>
      </w:pPr>
      <w:r w:rsidRPr="00F95EA8">
        <w:t>If you speak a language other than English you can contact us by:</w:t>
      </w:r>
    </w:p>
    <w:p w14:paraId="090F59A9" w14:textId="77777777" w:rsidR="00F95EA8" w:rsidRPr="00F95EA8" w:rsidRDefault="00F95EA8" w:rsidP="00F95EA8">
      <w:pPr>
        <w:pStyle w:val="Heading3"/>
      </w:pPr>
      <w:r w:rsidRPr="00F95EA8">
        <w:t>Translating and Interpreting Service (TIS)</w:t>
      </w:r>
    </w:p>
    <w:p w14:paraId="2CEF5B6C" w14:textId="2058BDF9" w:rsidR="00F95EA8" w:rsidRPr="00F95EA8" w:rsidRDefault="00F95EA8" w:rsidP="00E30CDF">
      <w:pPr>
        <w:pStyle w:val="ListParagraph"/>
        <w:numPr>
          <w:ilvl w:val="0"/>
          <w:numId w:val="23"/>
        </w:numPr>
      </w:pPr>
      <w:r w:rsidRPr="00F95EA8">
        <w:t>Information about TIS can be found </w:t>
      </w:r>
      <w:hyperlink r:id="rId27" w:history="1">
        <w:r w:rsidR="00980A1E">
          <w:rPr>
            <w:rStyle w:val="Hyperlink"/>
          </w:rPr>
          <w:t>on the TIS website.</w:t>
        </w:r>
      </w:hyperlink>
    </w:p>
    <w:p w14:paraId="75930C75" w14:textId="77777777" w:rsidR="00F95EA8" w:rsidRPr="00F95EA8" w:rsidRDefault="00A5132F" w:rsidP="00E30CDF">
      <w:pPr>
        <w:pStyle w:val="ListParagraph"/>
        <w:numPr>
          <w:ilvl w:val="0"/>
          <w:numId w:val="23"/>
        </w:numPr>
      </w:pPr>
      <w:hyperlink r:id="rId28" w:history="1">
        <w:r w:rsidR="00F95EA8" w:rsidRPr="00F95EA8">
          <w:rPr>
            <w:rStyle w:val="Hyperlink"/>
          </w:rPr>
          <w:t>131 450</w:t>
        </w:r>
      </w:hyperlink>
    </w:p>
    <w:p w14:paraId="2551D69F" w14:textId="77777777" w:rsidR="00F95EA8" w:rsidRPr="00F95EA8" w:rsidRDefault="00E30CDF" w:rsidP="00F95EA8">
      <w:r>
        <w:rPr>
          <w:noProof/>
        </w:rPr>
        <w:pict w14:anchorId="51F617E2">
          <v:rect id="_x0000_i1029" alt="" style="width:523.3pt;height:.05pt;mso-width-percent:0;mso-height-percent:0;mso-width-percent:0;mso-height-percent:0" o:hralign="center" o:hrstd="t" o:hr="t" fillcolor="#a0a0a0" stroked="f"/>
        </w:pict>
      </w:r>
    </w:p>
    <w:p w14:paraId="4FA35DD0" w14:textId="77777777" w:rsidR="00F95EA8" w:rsidRPr="00F95EA8" w:rsidRDefault="00F95EA8" w:rsidP="00F95EA8">
      <w:pPr>
        <w:pStyle w:val="Heading2"/>
      </w:pPr>
      <w:r w:rsidRPr="00F95EA8">
        <w:t>Complaint form</w:t>
      </w:r>
    </w:p>
    <w:p w14:paraId="4952DC6A" w14:textId="70545CDC" w:rsidR="00F95EA8" w:rsidRPr="00F95EA8" w:rsidRDefault="00F95EA8" w:rsidP="00F95EA8">
      <w:r w:rsidRPr="00F95EA8">
        <w:t>Click </w:t>
      </w:r>
      <w:r w:rsidRPr="00980A1E">
        <w:t>here</w:t>
      </w:r>
      <w:r w:rsidRPr="00F95EA8">
        <w:t xml:space="preserve"> to submit a complaint via our </w:t>
      </w:r>
      <w:hyperlink r:id="rId29" w:history="1">
        <w:r w:rsidRPr="00980A1E">
          <w:rPr>
            <w:rStyle w:val="Hyperlink"/>
          </w:rPr>
          <w:t>online complaint form</w:t>
        </w:r>
      </w:hyperlink>
      <w:r w:rsidRPr="00F95EA8">
        <w:t>.</w:t>
      </w:r>
    </w:p>
    <w:p w14:paraId="0ADE9EE9" w14:textId="77777777" w:rsidR="00F95EA8" w:rsidRPr="00F95EA8" w:rsidRDefault="00E30CDF" w:rsidP="00F95EA8">
      <w:r>
        <w:rPr>
          <w:noProof/>
        </w:rPr>
        <w:pict w14:anchorId="62EE0B34">
          <v:rect id="_x0000_i1028" alt="" style="width:523.3pt;height:.05pt;mso-width-percent:0;mso-height-percent:0;mso-width-percent:0;mso-height-percent:0" o:hralign="center" o:hrstd="t" o:hr="t" fillcolor="#a0a0a0" stroked="f"/>
        </w:pict>
      </w:r>
    </w:p>
    <w:p w14:paraId="1983004D" w14:textId="77777777" w:rsidR="00F95EA8" w:rsidRPr="00F95EA8" w:rsidRDefault="00F95EA8" w:rsidP="00F95EA8">
      <w:pPr>
        <w:pStyle w:val="Heading2"/>
      </w:pPr>
      <w:r w:rsidRPr="00F95EA8">
        <w:t>Email</w:t>
      </w:r>
    </w:p>
    <w:p w14:paraId="51AF5187" w14:textId="77777777" w:rsidR="00F95EA8" w:rsidRPr="00F95EA8" w:rsidRDefault="00A5132F" w:rsidP="00F95EA8">
      <w:hyperlink r:id="rId30" w:history="1">
        <w:r w:rsidR="00F95EA8" w:rsidRPr="00F95EA8">
          <w:rPr>
            <w:rStyle w:val="Hyperlink"/>
          </w:rPr>
          <w:t>enquiries@ptovic.com.au</w:t>
        </w:r>
      </w:hyperlink>
    </w:p>
    <w:p w14:paraId="4DD793CA" w14:textId="77777777" w:rsidR="00F95EA8" w:rsidRPr="00F95EA8" w:rsidRDefault="00F95EA8" w:rsidP="00F95EA8">
      <w:pPr>
        <w:rPr>
          <w:i/>
          <w:iCs/>
        </w:rPr>
      </w:pPr>
      <w:r w:rsidRPr="00F95EA8">
        <w:rPr>
          <w:i/>
          <w:iCs/>
        </w:rPr>
        <w:t>* Emails received outside of PTO business hours are addressed the next business day and you should hear back from us within three business days.</w:t>
      </w:r>
    </w:p>
    <w:p w14:paraId="624D8DDD" w14:textId="77777777" w:rsidR="00F95EA8" w:rsidRPr="00F95EA8" w:rsidRDefault="00E30CDF" w:rsidP="00F95EA8">
      <w:r>
        <w:rPr>
          <w:noProof/>
        </w:rPr>
        <w:pict w14:anchorId="0D578BA7">
          <v:rect id="_x0000_i1027" alt="" style="width:523.3pt;height:.05pt;mso-width-percent:0;mso-height-percent:0;mso-width-percent:0;mso-height-percent:0" o:hralign="center" o:hrstd="t" o:hr="t" fillcolor="#a0a0a0" stroked="f"/>
        </w:pict>
      </w:r>
    </w:p>
    <w:p w14:paraId="54483D30" w14:textId="77777777" w:rsidR="00F95EA8" w:rsidRPr="00F95EA8" w:rsidRDefault="00F95EA8" w:rsidP="00F95EA8">
      <w:pPr>
        <w:pStyle w:val="Heading2"/>
      </w:pPr>
      <w:r w:rsidRPr="00F95EA8">
        <w:t>Mail address</w:t>
      </w:r>
    </w:p>
    <w:p w14:paraId="72603579" w14:textId="77777777" w:rsidR="00F95EA8" w:rsidRPr="00F95EA8" w:rsidRDefault="00F95EA8" w:rsidP="00F95EA8">
      <w:r w:rsidRPr="00F95EA8">
        <w:t>Public Transport Ombudsman</w:t>
      </w:r>
      <w:r w:rsidRPr="00F95EA8">
        <w:br/>
        <w:t>PO Box 538</w:t>
      </w:r>
      <w:r w:rsidRPr="00F95EA8">
        <w:br/>
        <w:t>Collins Street West</w:t>
      </w:r>
      <w:r w:rsidRPr="00F95EA8">
        <w:br/>
        <w:t>MELBOURNE VIC 8007</w:t>
      </w:r>
    </w:p>
    <w:p w14:paraId="6FF05765" w14:textId="77777777" w:rsidR="00F95EA8" w:rsidRPr="00F95EA8" w:rsidRDefault="00E30CDF" w:rsidP="00F95EA8">
      <w:r>
        <w:rPr>
          <w:noProof/>
        </w:rPr>
        <w:pict w14:anchorId="4D0D9A5B">
          <v:rect id="_x0000_i1026" alt="" style="width:523.3pt;height:.05pt;mso-width-percent:0;mso-height-percent:0;mso-width-percent:0;mso-height-percent:0" o:hralign="center" o:hrstd="t" o:hr="t" fillcolor="#a0a0a0" stroked="f"/>
        </w:pict>
      </w:r>
    </w:p>
    <w:p w14:paraId="7255A205" w14:textId="5239EB87" w:rsidR="00F95EA8" w:rsidRPr="00F95EA8" w:rsidRDefault="005C624C" w:rsidP="00F95EA8">
      <w:pPr>
        <w:pStyle w:val="Heading2"/>
      </w:pPr>
      <w:r>
        <w:lastRenderedPageBreak/>
        <w:t>Social Media</w:t>
      </w:r>
    </w:p>
    <w:p w14:paraId="5A357C0C" w14:textId="66144190" w:rsidR="00F95EA8" w:rsidRDefault="00A5132F" w:rsidP="00F95EA8">
      <w:pPr>
        <w:rPr>
          <w:rStyle w:val="Hyperlink"/>
        </w:rPr>
      </w:pPr>
      <w:hyperlink r:id="rId31" w:tgtFrame="_blank" w:history="1">
        <w:r w:rsidR="00F95EA8" w:rsidRPr="00F95EA8">
          <w:rPr>
            <w:rStyle w:val="Hyperlink"/>
          </w:rPr>
          <w:t>facebook.com/</w:t>
        </w:r>
        <w:proofErr w:type="spellStart"/>
        <w:r w:rsidR="00F95EA8" w:rsidRPr="00F95EA8">
          <w:rPr>
            <w:rStyle w:val="Hyperlink"/>
          </w:rPr>
          <w:t>PublicTransportOmbudsman</w:t>
        </w:r>
        <w:proofErr w:type="spellEnd"/>
        <w:r w:rsidR="00F95EA8" w:rsidRPr="00F95EA8">
          <w:rPr>
            <w:rStyle w:val="Hyperlink"/>
          </w:rPr>
          <w:t>/</w:t>
        </w:r>
      </w:hyperlink>
    </w:p>
    <w:p w14:paraId="04E74501" w14:textId="6F9BC5C9" w:rsidR="005C624C" w:rsidRPr="00F95EA8" w:rsidRDefault="00482F25" w:rsidP="00F95EA8">
      <w:hyperlink r:id="rId32" w:history="1">
        <w:r w:rsidR="00980A1E" w:rsidRPr="00482F25">
          <w:rPr>
            <w:rStyle w:val="Hyperlink"/>
          </w:rPr>
          <w:t>twitter.com/</w:t>
        </w:r>
        <w:proofErr w:type="spellStart"/>
        <w:r w:rsidR="00980A1E" w:rsidRPr="00482F25">
          <w:rPr>
            <w:rStyle w:val="Hyperlink"/>
          </w:rPr>
          <w:t>ptovic</w:t>
        </w:r>
        <w:proofErr w:type="spellEnd"/>
      </w:hyperlink>
    </w:p>
    <w:p w14:paraId="50E4B74B" w14:textId="77777777" w:rsidR="00F95EA8" w:rsidRPr="00F95EA8" w:rsidRDefault="00E30CDF" w:rsidP="00F95EA8">
      <w:r>
        <w:rPr>
          <w:noProof/>
        </w:rPr>
        <w:pict w14:anchorId="1903C4F8">
          <v:rect id="_x0000_i1025" alt="" style="width:523.3pt;height:.05pt;mso-width-percent:0;mso-height-percent:0;mso-width-percent:0;mso-height-percent:0" o:hralign="center" o:hrstd="t" o:hr="t" fillcolor="#a0a0a0" stroked="f"/>
        </w:pict>
      </w:r>
    </w:p>
    <w:p w14:paraId="71589767" w14:textId="77777777" w:rsidR="00F95EA8" w:rsidRPr="00F95EA8" w:rsidRDefault="00F95EA8" w:rsidP="00F95EA8">
      <w:pPr>
        <w:pStyle w:val="Heading2"/>
      </w:pPr>
      <w:r w:rsidRPr="00F95EA8">
        <w:t>Hours of operation</w:t>
      </w:r>
    </w:p>
    <w:p w14:paraId="6EB53E7B" w14:textId="77777777" w:rsidR="00F95EA8" w:rsidRPr="00F95EA8" w:rsidRDefault="00F95EA8" w:rsidP="00F95EA8">
      <w:r w:rsidRPr="00F95EA8">
        <w:t>9.00 am to 5.00 pm</w:t>
      </w:r>
      <w:r w:rsidRPr="00F95EA8">
        <w:br/>
        <w:t>Monday to Friday </w:t>
      </w:r>
    </w:p>
    <w:p w14:paraId="3A2ADC76" w14:textId="77777777" w:rsidR="00F95EA8" w:rsidRDefault="00F95EA8" w:rsidP="00F95EA8">
      <w:pPr>
        <w:rPr>
          <w:rFonts w:ascii="Times New Roman" w:hAnsi="Times New Roman"/>
        </w:rPr>
      </w:pPr>
    </w:p>
    <w:p w14:paraId="23B0E89E" w14:textId="77777777" w:rsidR="00FF7819" w:rsidRPr="00A138D9" w:rsidRDefault="00FF7819" w:rsidP="005F35B0"/>
    <w:sectPr w:rsidR="00FF7819" w:rsidRPr="00A138D9" w:rsidSect="00FE3E8A">
      <w:footerReference w:type="even" r:id="rId33"/>
      <w:footerReference w:type="default" r:id="rId34"/>
      <w:pgSz w:w="11906" w:h="16838"/>
      <w:pgMar w:top="-444" w:right="720" w:bottom="72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2BDE8" w14:textId="77777777" w:rsidR="00E30CDF" w:rsidRDefault="00E30CDF" w:rsidP="005F35B0">
      <w:r>
        <w:separator/>
      </w:r>
    </w:p>
    <w:p w14:paraId="63EC142B" w14:textId="77777777" w:rsidR="00E30CDF" w:rsidRDefault="00E30CDF" w:rsidP="005F35B0"/>
  </w:endnote>
  <w:endnote w:type="continuationSeparator" w:id="0">
    <w:p w14:paraId="7AF2018F" w14:textId="77777777" w:rsidR="00E30CDF" w:rsidRDefault="00E30CDF" w:rsidP="005F35B0">
      <w:r>
        <w:continuationSeparator/>
      </w:r>
    </w:p>
    <w:p w14:paraId="3132CD67" w14:textId="77777777" w:rsidR="00E30CDF" w:rsidRDefault="00E30CDF" w:rsidP="005F35B0"/>
  </w:endnote>
  <w:endnote w:type="continuationNotice" w:id="1">
    <w:p w14:paraId="380E2216" w14:textId="77777777" w:rsidR="00E30CDF" w:rsidRDefault="00E30CDF" w:rsidP="005F35B0"/>
    <w:p w14:paraId="113E7B57" w14:textId="77777777" w:rsidR="00E30CDF" w:rsidRDefault="00E30CDF" w:rsidP="005F35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Roboto Light">
    <w:panose1 w:val="02000000000000000000"/>
    <w:charset w:val="00"/>
    <w:family w:val="auto"/>
    <w:pitch w:val="variable"/>
    <w:sig w:usb0="E0000AFF" w:usb1="5000217F" w:usb2="00000021" w:usb3="00000000" w:csb0="0000019F" w:csb1="00000000"/>
  </w:font>
  <w:font w:name="Roboto Slab">
    <w:panose1 w:val="00000000000000000000"/>
    <w:charset w:val="00"/>
    <w:family w:val="auto"/>
    <w:pitch w:val="variable"/>
    <w:sig w:usb0="E00002FF" w:usb1="5000205B" w:usb2="00000020" w:usb3="00000000" w:csb0="0000019F" w:csb1="00000000"/>
  </w:font>
  <w:font w:name="Roboto Medium">
    <w:panose1 w:val="02000000000000000000"/>
    <w:charset w:val="00"/>
    <w:family w:val="auto"/>
    <w:pitch w:val="variable"/>
    <w:sig w:usb0="E0000AFF" w:usb1="5000217F" w:usb2="00000021" w:usb3="00000000" w:csb0="0000019F" w:csb1="00000000"/>
  </w:font>
  <w:font w:name="Titillium">
    <w:panose1 w:val="00000500000000000000"/>
    <w:charset w:val="4D"/>
    <w:family w:val="auto"/>
    <w:notTrueType/>
    <w:pitch w:val="variable"/>
    <w:sig w:usb0="00000007" w:usb1="00000001" w:usb2="00000000" w:usb3="00000000" w:csb0="00000093" w:csb1="00000000"/>
  </w:font>
  <w:font w:name="Titillium Bd">
    <w:panose1 w:val="00000800000000000000"/>
    <w:charset w:val="4D"/>
    <w:family w:val="auto"/>
    <w:notTrueType/>
    <w:pitch w:val="variable"/>
    <w:sig w:usb0="00000007" w:usb1="00000001" w:usb2="00000000" w:usb3="00000000" w:csb0="00000093" w:csb1="00000000"/>
  </w:font>
  <w:font w:name="Titillium Lt">
    <w:altName w:val="Calibri"/>
    <w:panose1 w:val="00000400000000000000"/>
    <w:charset w:val="4D"/>
    <w:family w:val="auto"/>
    <w:notTrueType/>
    <w:pitch w:val="variable"/>
    <w:sig w:usb0="00000007" w:usb1="00000001" w:usb2="00000000" w:usb3="00000000" w:csb0="00000093" w:csb1="00000000"/>
  </w:font>
  <w:font w:name="Roboto Black">
    <w:panose1 w:val="02000000000000000000"/>
    <w:charset w:val="00"/>
    <w:family w:val="auto"/>
    <w:pitch w:val="variable"/>
    <w:sig w:usb0="E0000AFF" w:usb1="5000217F" w:usb2="00000021" w:usb3="00000000" w:csb0="0000019F" w:csb1="00000000"/>
  </w:font>
  <w:font w:name="Roboto Thin">
    <w:panose1 w:val="02000000000000000000"/>
    <w:charset w:val="00"/>
    <w:family w:val="auto"/>
    <w:pitch w:val="variable"/>
    <w:sig w:usb0="E0000AFF" w:usb1="5000217F" w:usb2="0000002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740953697"/>
      <w:docPartObj>
        <w:docPartGallery w:val="Page Numbers (Top of Page)"/>
        <w:docPartUnique/>
      </w:docPartObj>
    </w:sdtPr>
    <w:sdtContent>
      <w:p w14:paraId="15BD1C02" w14:textId="5C98CDBC" w:rsidR="00076C4A" w:rsidRPr="005C624C" w:rsidRDefault="005C624C" w:rsidP="005C624C">
        <w:pPr>
          <w:pStyle w:val="Footer"/>
          <w:ind w:left="851" w:hanging="1702"/>
          <w:rPr>
            <w:sz w:val="16"/>
            <w:szCs w:val="16"/>
          </w:rPr>
        </w:pPr>
        <w:r w:rsidRPr="000B6299">
          <w:rPr>
            <w:sz w:val="16"/>
            <w:szCs w:val="16"/>
          </w:rPr>
          <w:t xml:space="preserve">Page </w:t>
        </w:r>
        <w:r w:rsidRPr="000B6299">
          <w:rPr>
            <w:b/>
            <w:bCs/>
            <w:sz w:val="16"/>
            <w:szCs w:val="16"/>
          </w:rPr>
          <w:fldChar w:fldCharType="begin"/>
        </w:r>
        <w:r w:rsidRPr="000B6299">
          <w:rPr>
            <w:b/>
            <w:bCs/>
            <w:sz w:val="16"/>
            <w:szCs w:val="16"/>
          </w:rPr>
          <w:instrText xml:space="preserve"> PAGE </w:instrText>
        </w:r>
        <w:r w:rsidRPr="000B6299">
          <w:rPr>
            <w:b/>
            <w:bCs/>
            <w:sz w:val="16"/>
            <w:szCs w:val="16"/>
          </w:rPr>
          <w:fldChar w:fldCharType="separate"/>
        </w:r>
        <w:r>
          <w:rPr>
            <w:b/>
            <w:bCs/>
            <w:sz w:val="16"/>
            <w:szCs w:val="16"/>
          </w:rPr>
          <w:t>1</w:t>
        </w:r>
        <w:r w:rsidRPr="000B6299">
          <w:rPr>
            <w:b/>
            <w:bCs/>
            <w:sz w:val="16"/>
            <w:szCs w:val="16"/>
          </w:rPr>
          <w:fldChar w:fldCharType="end"/>
        </w:r>
        <w:r w:rsidRPr="000B6299">
          <w:rPr>
            <w:sz w:val="16"/>
            <w:szCs w:val="16"/>
          </w:rPr>
          <w:t xml:space="preserve"> of </w:t>
        </w:r>
        <w:r w:rsidRPr="000B6299">
          <w:rPr>
            <w:b/>
            <w:bCs/>
            <w:sz w:val="16"/>
            <w:szCs w:val="16"/>
          </w:rPr>
          <w:fldChar w:fldCharType="begin"/>
        </w:r>
        <w:r w:rsidRPr="000B6299">
          <w:rPr>
            <w:b/>
            <w:bCs/>
            <w:sz w:val="16"/>
            <w:szCs w:val="16"/>
          </w:rPr>
          <w:instrText xml:space="preserve"> NUMPAGES  </w:instrText>
        </w:r>
        <w:r w:rsidRPr="000B6299">
          <w:rPr>
            <w:b/>
            <w:bCs/>
            <w:sz w:val="16"/>
            <w:szCs w:val="16"/>
          </w:rPr>
          <w:fldChar w:fldCharType="separate"/>
        </w:r>
        <w:r>
          <w:rPr>
            <w:b/>
            <w:bCs/>
            <w:sz w:val="16"/>
            <w:szCs w:val="16"/>
          </w:rPr>
          <w:t>2</w:t>
        </w:r>
        <w:r w:rsidRPr="000B6299">
          <w:rPr>
            <w:b/>
            <w:bCs/>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5496A3" w14:textId="77777777" w:rsidR="00076C4A" w:rsidRPr="00A22648" w:rsidRDefault="00076C4A" w:rsidP="00A226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22182620"/>
      <w:docPartObj>
        <w:docPartGallery w:val="Page Numbers (Bottom of Page)"/>
        <w:docPartUnique/>
      </w:docPartObj>
    </w:sdtPr>
    <w:sdtContent>
      <w:p w14:paraId="0982743C" w14:textId="7EC27F6A" w:rsidR="00F72A80" w:rsidRDefault="00F72A80" w:rsidP="005F35B0">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BB713E2" w14:textId="77777777" w:rsidR="00F72A80" w:rsidRDefault="00F72A80" w:rsidP="005F35B0">
    <w:pPr>
      <w:pStyle w:val="Footer"/>
    </w:pPr>
  </w:p>
  <w:p w14:paraId="3FCD7D85" w14:textId="77777777" w:rsidR="00F72A80" w:rsidRDefault="00F72A80" w:rsidP="005F35B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39525553"/>
      <w:docPartObj>
        <w:docPartGallery w:val="Page Numbers (Bottom of Page)"/>
        <w:docPartUnique/>
      </w:docPartObj>
    </w:sdtPr>
    <w:sdtContent>
      <w:p w14:paraId="782DB9F6" w14:textId="5F19455F" w:rsidR="00F72A80" w:rsidRDefault="00F72A80" w:rsidP="00FE3E8A">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94BAEB" w14:textId="77777777" w:rsidR="00E30CDF" w:rsidRDefault="00E30CDF" w:rsidP="005F35B0">
      <w:r>
        <w:separator/>
      </w:r>
    </w:p>
    <w:p w14:paraId="42D3CCDF" w14:textId="77777777" w:rsidR="00E30CDF" w:rsidRDefault="00E30CDF" w:rsidP="005F35B0"/>
  </w:footnote>
  <w:footnote w:type="continuationSeparator" w:id="0">
    <w:p w14:paraId="61B96B5A" w14:textId="77777777" w:rsidR="00E30CDF" w:rsidRDefault="00E30CDF" w:rsidP="005F35B0">
      <w:r>
        <w:continuationSeparator/>
      </w:r>
    </w:p>
    <w:p w14:paraId="21583649" w14:textId="77777777" w:rsidR="00E30CDF" w:rsidRDefault="00E30CDF" w:rsidP="005F35B0"/>
  </w:footnote>
  <w:footnote w:type="continuationNotice" w:id="1">
    <w:p w14:paraId="1093DD5A" w14:textId="77777777" w:rsidR="00E30CDF" w:rsidRDefault="00E30CDF" w:rsidP="005F35B0"/>
    <w:p w14:paraId="139F714E" w14:textId="77777777" w:rsidR="00E30CDF" w:rsidRDefault="00E30CDF" w:rsidP="005F35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2D69D" w14:textId="12A71A8B" w:rsidR="005C624C" w:rsidRDefault="005C624C">
    <w:pPr>
      <w:pStyle w:val="Header"/>
    </w:pPr>
    <w:r>
      <w:rPr>
        <w:noProof/>
      </w:rPr>
      <w:drawing>
        <wp:anchor distT="0" distB="0" distL="114300" distR="114300" simplePos="0" relativeHeight="251659264" behindDoc="1" locked="0" layoutInCell="1" allowOverlap="1" wp14:anchorId="2FB20177" wp14:editId="34619FC0">
          <wp:simplePos x="0" y="0"/>
          <wp:positionH relativeFrom="column">
            <wp:posOffset>-534154</wp:posOffset>
          </wp:positionH>
          <wp:positionV relativeFrom="page">
            <wp:posOffset>359046</wp:posOffset>
          </wp:positionV>
          <wp:extent cx="1151890" cy="447675"/>
          <wp:effectExtent l="0" t="0" r="3810" b="0"/>
          <wp:wrapNone/>
          <wp:docPr id="16" name="Picture 16" descr="Public Transport Ombudsman logo ">
            <a:hlinkClick xmlns:a="http://schemas.openxmlformats.org/drawingml/2006/main" r:id="rId1"/>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ublic Transport Ombudsman logo ">
                    <a:hlinkClick r:id="rId1"/>
                    <a:extLst>
                      <a:ext uri="{C183D7F6-B498-43B3-948B-1728B52AA6E4}">
                        <adec:decorative xmlns:adec="http://schemas.microsoft.com/office/drawing/2017/decorative" val="0"/>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151890" cy="44767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71774" w14:textId="77777777" w:rsidR="00076C4A" w:rsidRDefault="00076C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170AE" w14:textId="77777777" w:rsidR="00076C4A" w:rsidRPr="00A22648" w:rsidRDefault="00076C4A" w:rsidP="00A2264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20B4B8" w14:textId="77777777" w:rsidR="00076C4A" w:rsidRDefault="00076C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A2AE1"/>
    <w:multiLevelType w:val="hybridMultilevel"/>
    <w:tmpl w:val="5928D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6068EF"/>
    <w:multiLevelType w:val="hybridMultilevel"/>
    <w:tmpl w:val="B804F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6167FF"/>
    <w:multiLevelType w:val="hybridMultilevel"/>
    <w:tmpl w:val="D4B6D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607A5E"/>
    <w:multiLevelType w:val="hybridMultilevel"/>
    <w:tmpl w:val="805AA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03743F"/>
    <w:multiLevelType w:val="hybridMultilevel"/>
    <w:tmpl w:val="EC201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5660B2"/>
    <w:multiLevelType w:val="hybridMultilevel"/>
    <w:tmpl w:val="A9EA0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BE48E4"/>
    <w:multiLevelType w:val="hybridMultilevel"/>
    <w:tmpl w:val="1040A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5866CA"/>
    <w:multiLevelType w:val="hybridMultilevel"/>
    <w:tmpl w:val="5CCC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F880173"/>
    <w:multiLevelType w:val="hybridMultilevel"/>
    <w:tmpl w:val="A3766F0E"/>
    <w:lvl w:ilvl="0" w:tplc="2BC0DD18">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23A7098"/>
    <w:multiLevelType w:val="hybridMultilevel"/>
    <w:tmpl w:val="924E2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1C5B39"/>
    <w:multiLevelType w:val="hybridMultilevel"/>
    <w:tmpl w:val="E1146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151F1D"/>
    <w:multiLevelType w:val="hybridMultilevel"/>
    <w:tmpl w:val="95B6CFE8"/>
    <w:lvl w:ilvl="0" w:tplc="2BC0DD18">
      <w:start w:val="1"/>
      <w:numFmt w:val="bullet"/>
      <w:lvlText w:val=""/>
      <w:lvlJc w:val="left"/>
      <w:pPr>
        <w:tabs>
          <w:tab w:val="num" w:pos="360"/>
        </w:tabs>
        <w:ind w:left="360" w:hanging="360"/>
      </w:pPr>
      <w:rPr>
        <w:rFonts w:ascii="Symbol" w:hAnsi="Symbol" w:hint="default"/>
        <w:color w:val="auto"/>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16443E5"/>
    <w:multiLevelType w:val="hybridMultilevel"/>
    <w:tmpl w:val="C5DAB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6D0C25"/>
    <w:multiLevelType w:val="hybridMultilevel"/>
    <w:tmpl w:val="30C8D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42636D"/>
    <w:multiLevelType w:val="hybridMultilevel"/>
    <w:tmpl w:val="0DC45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FE7835"/>
    <w:multiLevelType w:val="hybridMultilevel"/>
    <w:tmpl w:val="77BE40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200E32"/>
    <w:multiLevelType w:val="hybridMultilevel"/>
    <w:tmpl w:val="870C5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1460DE0"/>
    <w:multiLevelType w:val="hybridMultilevel"/>
    <w:tmpl w:val="D48ED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1FA0B18"/>
    <w:multiLevelType w:val="hybridMultilevel"/>
    <w:tmpl w:val="A77EF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2052D52"/>
    <w:multiLevelType w:val="hybridMultilevel"/>
    <w:tmpl w:val="BDE22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712CC3"/>
    <w:multiLevelType w:val="hybridMultilevel"/>
    <w:tmpl w:val="C92C3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3E05A4F"/>
    <w:multiLevelType w:val="hybridMultilevel"/>
    <w:tmpl w:val="933CE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92794B"/>
    <w:multiLevelType w:val="hybridMultilevel"/>
    <w:tmpl w:val="274A9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9413BFF"/>
    <w:multiLevelType w:val="hybridMultilevel"/>
    <w:tmpl w:val="AEAA1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DE65A52"/>
    <w:multiLevelType w:val="hybridMultilevel"/>
    <w:tmpl w:val="A16A0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C53035"/>
    <w:multiLevelType w:val="hybridMultilevel"/>
    <w:tmpl w:val="52889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D44CFE"/>
    <w:multiLevelType w:val="hybridMultilevel"/>
    <w:tmpl w:val="EDFC8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227998"/>
    <w:multiLevelType w:val="hybridMultilevel"/>
    <w:tmpl w:val="1FB0F3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DE1682D"/>
    <w:multiLevelType w:val="hybridMultilevel"/>
    <w:tmpl w:val="834ED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08F4625"/>
    <w:multiLevelType w:val="hybridMultilevel"/>
    <w:tmpl w:val="895A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2AE2290"/>
    <w:multiLevelType w:val="hybridMultilevel"/>
    <w:tmpl w:val="61882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F247E03"/>
    <w:multiLevelType w:val="hybridMultilevel"/>
    <w:tmpl w:val="1F86C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96643B"/>
    <w:multiLevelType w:val="hybridMultilevel"/>
    <w:tmpl w:val="4D201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661A39"/>
    <w:multiLevelType w:val="hybridMultilevel"/>
    <w:tmpl w:val="63F8B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4E37DC"/>
    <w:multiLevelType w:val="hybridMultilevel"/>
    <w:tmpl w:val="69EAB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C50CB0"/>
    <w:multiLevelType w:val="hybridMultilevel"/>
    <w:tmpl w:val="C5587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FE586A"/>
    <w:multiLevelType w:val="hybridMultilevel"/>
    <w:tmpl w:val="5568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15"/>
  </w:num>
  <w:num w:numId="3">
    <w:abstractNumId w:val="35"/>
  </w:num>
  <w:num w:numId="4">
    <w:abstractNumId w:val="24"/>
  </w:num>
  <w:num w:numId="5">
    <w:abstractNumId w:val="10"/>
  </w:num>
  <w:num w:numId="6">
    <w:abstractNumId w:val="26"/>
  </w:num>
  <w:num w:numId="7">
    <w:abstractNumId w:val="12"/>
  </w:num>
  <w:num w:numId="8">
    <w:abstractNumId w:val="9"/>
  </w:num>
  <w:num w:numId="9">
    <w:abstractNumId w:val="30"/>
  </w:num>
  <w:num w:numId="10">
    <w:abstractNumId w:val="7"/>
  </w:num>
  <w:num w:numId="11">
    <w:abstractNumId w:val="19"/>
  </w:num>
  <w:num w:numId="12">
    <w:abstractNumId w:val="4"/>
  </w:num>
  <w:num w:numId="13">
    <w:abstractNumId w:val="3"/>
  </w:num>
  <w:num w:numId="14">
    <w:abstractNumId w:val="16"/>
  </w:num>
  <w:num w:numId="15">
    <w:abstractNumId w:val="13"/>
  </w:num>
  <w:num w:numId="16">
    <w:abstractNumId w:val="5"/>
  </w:num>
  <w:num w:numId="17">
    <w:abstractNumId w:val="34"/>
  </w:num>
  <w:num w:numId="18">
    <w:abstractNumId w:val="18"/>
  </w:num>
  <w:num w:numId="19">
    <w:abstractNumId w:val="31"/>
  </w:num>
  <w:num w:numId="20">
    <w:abstractNumId w:val="29"/>
  </w:num>
  <w:num w:numId="21">
    <w:abstractNumId w:val="32"/>
  </w:num>
  <w:num w:numId="22">
    <w:abstractNumId w:val="2"/>
  </w:num>
  <w:num w:numId="23">
    <w:abstractNumId w:val="33"/>
  </w:num>
  <w:num w:numId="24">
    <w:abstractNumId w:val="6"/>
  </w:num>
  <w:num w:numId="25">
    <w:abstractNumId w:val="1"/>
  </w:num>
  <w:num w:numId="26">
    <w:abstractNumId w:val="17"/>
  </w:num>
  <w:num w:numId="27">
    <w:abstractNumId w:val="14"/>
  </w:num>
  <w:num w:numId="28">
    <w:abstractNumId w:val="27"/>
  </w:num>
  <w:num w:numId="29">
    <w:abstractNumId w:val="20"/>
  </w:num>
  <w:num w:numId="30">
    <w:abstractNumId w:val="36"/>
  </w:num>
  <w:num w:numId="31">
    <w:abstractNumId w:val="21"/>
  </w:num>
  <w:num w:numId="32">
    <w:abstractNumId w:val="0"/>
  </w:num>
  <w:num w:numId="33">
    <w:abstractNumId w:val="22"/>
  </w:num>
  <w:num w:numId="34">
    <w:abstractNumId w:val="28"/>
  </w:num>
  <w:num w:numId="35">
    <w:abstractNumId w:val="23"/>
  </w:num>
  <w:num w:numId="36">
    <w:abstractNumId w:val="11"/>
  </w:num>
  <w:num w:numId="37">
    <w:abstractNumId w:val="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F0B"/>
    <w:rsid w:val="0001282A"/>
    <w:rsid w:val="00012FE3"/>
    <w:rsid w:val="000136FF"/>
    <w:rsid w:val="0001403C"/>
    <w:rsid w:val="00015B76"/>
    <w:rsid w:val="00021565"/>
    <w:rsid w:val="00021737"/>
    <w:rsid w:val="000257C4"/>
    <w:rsid w:val="00027EE3"/>
    <w:rsid w:val="000300FA"/>
    <w:rsid w:val="0003031B"/>
    <w:rsid w:val="00035C2D"/>
    <w:rsid w:val="00037BAA"/>
    <w:rsid w:val="00042B9A"/>
    <w:rsid w:val="00043CFA"/>
    <w:rsid w:val="00052C9A"/>
    <w:rsid w:val="00054CAE"/>
    <w:rsid w:val="00056F2B"/>
    <w:rsid w:val="00073986"/>
    <w:rsid w:val="00076C4A"/>
    <w:rsid w:val="000900D4"/>
    <w:rsid w:val="00091724"/>
    <w:rsid w:val="000A34CC"/>
    <w:rsid w:val="000A6450"/>
    <w:rsid w:val="000B48FE"/>
    <w:rsid w:val="000C0BBF"/>
    <w:rsid w:val="000D4336"/>
    <w:rsid w:val="000D4DC5"/>
    <w:rsid w:val="000D5CB8"/>
    <w:rsid w:val="000D64B3"/>
    <w:rsid w:val="000D6A47"/>
    <w:rsid w:val="000F3031"/>
    <w:rsid w:val="000F381F"/>
    <w:rsid w:val="000F5B91"/>
    <w:rsid w:val="000F6990"/>
    <w:rsid w:val="000F74AF"/>
    <w:rsid w:val="0010391F"/>
    <w:rsid w:val="00103A02"/>
    <w:rsid w:val="001043BD"/>
    <w:rsid w:val="00110022"/>
    <w:rsid w:val="0011241C"/>
    <w:rsid w:val="00115482"/>
    <w:rsid w:val="00125D20"/>
    <w:rsid w:val="00134ACC"/>
    <w:rsid w:val="0013644F"/>
    <w:rsid w:val="0014044A"/>
    <w:rsid w:val="00151C5F"/>
    <w:rsid w:val="001528B0"/>
    <w:rsid w:val="00154574"/>
    <w:rsid w:val="001623F5"/>
    <w:rsid w:val="00163324"/>
    <w:rsid w:val="00167D11"/>
    <w:rsid w:val="00172C1E"/>
    <w:rsid w:val="00186D1A"/>
    <w:rsid w:val="001957E4"/>
    <w:rsid w:val="0019613B"/>
    <w:rsid w:val="001A1F9B"/>
    <w:rsid w:val="001A3335"/>
    <w:rsid w:val="001C0EE6"/>
    <w:rsid w:val="001C5150"/>
    <w:rsid w:val="001E2479"/>
    <w:rsid w:val="001E629A"/>
    <w:rsid w:val="001F64A7"/>
    <w:rsid w:val="002020DB"/>
    <w:rsid w:val="00216D13"/>
    <w:rsid w:val="00224F9A"/>
    <w:rsid w:val="002303AB"/>
    <w:rsid w:val="002353D6"/>
    <w:rsid w:val="00237C86"/>
    <w:rsid w:val="00245AFE"/>
    <w:rsid w:val="00270EEE"/>
    <w:rsid w:val="00272F07"/>
    <w:rsid w:val="002733A6"/>
    <w:rsid w:val="00282721"/>
    <w:rsid w:val="002A1595"/>
    <w:rsid w:val="002A1763"/>
    <w:rsid w:val="002C082E"/>
    <w:rsid w:val="002D458C"/>
    <w:rsid w:val="002E10A0"/>
    <w:rsid w:val="002E3CF0"/>
    <w:rsid w:val="002F5C17"/>
    <w:rsid w:val="003062C4"/>
    <w:rsid w:val="00315C12"/>
    <w:rsid w:val="00316DFD"/>
    <w:rsid w:val="00322DA0"/>
    <w:rsid w:val="00325D9E"/>
    <w:rsid w:val="003270DE"/>
    <w:rsid w:val="0032790C"/>
    <w:rsid w:val="003317B7"/>
    <w:rsid w:val="0033517E"/>
    <w:rsid w:val="00337603"/>
    <w:rsid w:val="003377CE"/>
    <w:rsid w:val="003443F4"/>
    <w:rsid w:val="00346197"/>
    <w:rsid w:val="00347A8E"/>
    <w:rsid w:val="00353A94"/>
    <w:rsid w:val="003563C0"/>
    <w:rsid w:val="00380BC7"/>
    <w:rsid w:val="00381033"/>
    <w:rsid w:val="00381546"/>
    <w:rsid w:val="00384A72"/>
    <w:rsid w:val="003A6FD7"/>
    <w:rsid w:val="003B604F"/>
    <w:rsid w:val="003D4BA7"/>
    <w:rsid w:val="003D5B3A"/>
    <w:rsid w:val="003E70B5"/>
    <w:rsid w:val="003F14F9"/>
    <w:rsid w:val="003F79B5"/>
    <w:rsid w:val="003F7E26"/>
    <w:rsid w:val="00402154"/>
    <w:rsid w:val="00403E4A"/>
    <w:rsid w:val="00413491"/>
    <w:rsid w:val="00445870"/>
    <w:rsid w:val="004530D3"/>
    <w:rsid w:val="004541A2"/>
    <w:rsid w:val="00463D0D"/>
    <w:rsid w:val="004649D3"/>
    <w:rsid w:val="00471692"/>
    <w:rsid w:val="00475ED5"/>
    <w:rsid w:val="00476135"/>
    <w:rsid w:val="00482F25"/>
    <w:rsid w:val="004830B3"/>
    <w:rsid w:val="0049043C"/>
    <w:rsid w:val="0049239E"/>
    <w:rsid w:val="00493FDE"/>
    <w:rsid w:val="004A08C9"/>
    <w:rsid w:val="004A143E"/>
    <w:rsid w:val="004A2ABF"/>
    <w:rsid w:val="004B1E23"/>
    <w:rsid w:val="004B6249"/>
    <w:rsid w:val="004C5C03"/>
    <w:rsid w:val="004C68EF"/>
    <w:rsid w:val="004D11A8"/>
    <w:rsid w:val="004D1B3E"/>
    <w:rsid w:val="004E7258"/>
    <w:rsid w:val="004F72E3"/>
    <w:rsid w:val="0050088E"/>
    <w:rsid w:val="00512774"/>
    <w:rsid w:val="00514558"/>
    <w:rsid w:val="00520D7E"/>
    <w:rsid w:val="0052501F"/>
    <w:rsid w:val="005259FE"/>
    <w:rsid w:val="00531536"/>
    <w:rsid w:val="005360FE"/>
    <w:rsid w:val="00542B14"/>
    <w:rsid w:val="00544E60"/>
    <w:rsid w:val="005622F5"/>
    <w:rsid w:val="00572185"/>
    <w:rsid w:val="00586393"/>
    <w:rsid w:val="00596FAD"/>
    <w:rsid w:val="005A413F"/>
    <w:rsid w:val="005A7ECE"/>
    <w:rsid w:val="005C3A80"/>
    <w:rsid w:val="005C5532"/>
    <w:rsid w:val="005C624C"/>
    <w:rsid w:val="005C79D5"/>
    <w:rsid w:val="005D18A5"/>
    <w:rsid w:val="005E49E2"/>
    <w:rsid w:val="005E61A5"/>
    <w:rsid w:val="005E61E0"/>
    <w:rsid w:val="005F35B0"/>
    <w:rsid w:val="005F78E4"/>
    <w:rsid w:val="005F7A27"/>
    <w:rsid w:val="00602BD8"/>
    <w:rsid w:val="00604ED4"/>
    <w:rsid w:val="00607198"/>
    <w:rsid w:val="006374B1"/>
    <w:rsid w:val="00641C3D"/>
    <w:rsid w:val="00653AC5"/>
    <w:rsid w:val="00660BB7"/>
    <w:rsid w:val="00662FEC"/>
    <w:rsid w:val="0066566B"/>
    <w:rsid w:val="00671BA6"/>
    <w:rsid w:val="00686FBB"/>
    <w:rsid w:val="006929FA"/>
    <w:rsid w:val="006A116C"/>
    <w:rsid w:val="006A2792"/>
    <w:rsid w:val="006A2A0D"/>
    <w:rsid w:val="006A2F0B"/>
    <w:rsid w:val="006B4695"/>
    <w:rsid w:val="006B7FB2"/>
    <w:rsid w:val="006C2614"/>
    <w:rsid w:val="006C74A6"/>
    <w:rsid w:val="006D1493"/>
    <w:rsid w:val="006D4FCD"/>
    <w:rsid w:val="006E5AC2"/>
    <w:rsid w:val="006E62B9"/>
    <w:rsid w:val="006F44B6"/>
    <w:rsid w:val="006F69A2"/>
    <w:rsid w:val="00700304"/>
    <w:rsid w:val="00711946"/>
    <w:rsid w:val="007154C3"/>
    <w:rsid w:val="007248AD"/>
    <w:rsid w:val="00731EA0"/>
    <w:rsid w:val="007439D1"/>
    <w:rsid w:val="0075601E"/>
    <w:rsid w:val="00761FD6"/>
    <w:rsid w:val="00762632"/>
    <w:rsid w:val="00773151"/>
    <w:rsid w:val="00781C6D"/>
    <w:rsid w:val="00790D72"/>
    <w:rsid w:val="00794869"/>
    <w:rsid w:val="007A2D72"/>
    <w:rsid w:val="007C0085"/>
    <w:rsid w:val="007D1960"/>
    <w:rsid w:val="007D5622"/>
    <w:rsid w:val="007E257A"/>
    <w:rsid w:val="007E343E"/>
    <w:rsid w:val="007F188F"/>
    <w:rsid w:val="008018F1"/>
    <w:rsid w:val="00802AE9"/>
    <w:rsid w:val="008073E6"/>
    <w:rsid w:val="008203EB"/>
    <w:rsid w:val="00841448"/>
    <w:rsid w:val="00842860"/>
    <w:rsid w:val="008449A3"/>
    <w:rsid w:val="008469CF"/>
    <w:rsid w:val="00870FD6"/>
    <w:rsid w:val="00883913"/>
    <w:rsid w:val="00892946"/>
    <w:rsid w:val="008961C6"/>
    <w:rsid w:val="008B0F91"/>
    <w:rsid w:val="008B2DF0"/>
    <w:rsid w:val="008B6883"/>
    <w:rsid w:val="008C04F7"/>
    <w:rsid w:val="008C09E6"/>
    <w:rsid w:val="008C0C34"/>
    <w:rsid w:val="008D21B8"/>
    <w:rsid w:val="008D79A4"/>
    <w:rsid w:val="008E0539"/>
    <w:rsid w:val="008E0B8B"/>
    <w:rsid w:val="008E1A12"/>
    <w:rsid w:val="00904908"/>
    <w:rsid w:val="0091316B"/>
    <w:rsid w:val="009149F0"/>
    <w:rsid w:val="00914A57"/>
    <w:rsid w:val="009210C4"/>
    <w:rsid w:val="009217DD"/>
    <w:rsid w:val="00922CD2"/>
    <w:rsid w:val="00930570"/>
    <w:rsid w:val="00941736"/>
    <w:rsid w:val="00942EB3"/>
    <w:rsid w:val="00951FDC"/>
    <w:rsid w:val="0095210D"/>
    <w:rsid w:val="00954E1B"/>
    <w:rsid w:val="009563B4"/>
    <w:rsid w:val="009568DE"/>
    <w:rsid w:val="00963F0B"/>
    <w:rsid w:val="0097113E"/>
    <w:rsid w:val="00972252"/>
    <w:rsid w:val="00973474"/>
    <w:rsid w:val="0097718B"/>
    <w:rsid w:val="00980A1E"/>
    <w:rsid w:val="009835A8"/>
    <w:rsid w:val="0099184F"/>
    <w:rsid w:val="00997D0F"/>
    <w:rsid w:val="009B4E4C"/>
    <w:rsid w:val="009B7711"/>
    <w:rsid w:val="009C2566"/>
    <w:rsid w:val="009C2862"/>
    <w:rsid w:val="009C50FD"/>
    <w:rsid w:val="009D09E7"/>
    <w:rsid w:val="009D0E79"/>
    <w:rsid w:val="009D3D1F"/>
    <w:rsid w:val="009E34C0"/>
    <w:rsid w:val="009E40B8"/>
    <w:rsid w:val="009E40F4"/>
    <w:rsid w:val="009E5DD3"/>
    <w:rsid w:val="009E752B"/>
    <w:rsid w:val="009F4478"/>
    <w:rsid w:val="009F63A8"/>
    <w:rsid w:val="009F64AD"/>
    <w:rsid w:val="00A138D9"/>
    <w:rsid w:val="00A26E34"/>
    <w:rsid w:val="00A5132F"/>
    <w:rsid w:val="00A57155"/>
    <w:rsid w:val="00A57819"/>
    <w:rsid w:val="00A67454"/>
    <w:rsid w:val="00A7051A"/>
    <w:rsid w:val="00A72510"/>
    <w:rsid w:val="00A7638C"/>
    <w:rsid w:val="00A8439D"/>
    <w:rsid w:val="00A871FE"/>
    <w:rsid w:val="00A9490A"/>
    <w:rsid w:val="00AA2055"/>
    <w:rsid w:val="00AA3244"/>
    <w:rsid w:val="00AB15DB"/>
    <w:rsid w:val="00AC40FD"/>
    <w:rsid w:val="00AD2D33"/>
    <w:rsid w:val="00AD6114"/>
    <w:rsid w:val="00AE573C"/>
    <w:rsid w:val="00AE76D7"/>
    <w:rsid w:val="00AF500F"/>
    <w:rsid w:val="00B03655"/>
    <w:rsid w:val="00B054A9"/>
    <w:rsid w:val="00B16071"/>
    <w:rsid w:val="00B21EE7"/>
    <w:rsid w:val="00B301F0"/>
    <w:rsid w:val="00B34A42"/>
    <w:rsid w:val="00B36152"/>
    <w:rsid w:val="00B36D25"/>
    <w:rsid w:val="00B441E9"/>
    <w:rsid w:val="00B473B0"/>
    <w:rsid w:val="00B5102D"/>
    <w:rsid w:val="00B57F88"/>
    <w:rsid w:val="00B61053"/>
    <w:rsid w:val="00B72559"/>
    <w:rsid w:val="00B73727"/>
    <w:rsid w:val="00B742A9"/>
    <w:rsid w:val="00B75118"/>
    <w:rsid w:val="00B77266"/>
    <w:rsid w:val="00B81431"/>
    <w:rsid w:val="00B81A5C"/>
    <w:rsid w:val="00B926A9"/>
    <w:rsid w:val="00BA13D2"/>
    <w:rsid w:val="00BA6424"/>
    <w:rsid w:val="00BA65C9"/>
    <w:rsid w:val="00BB5E52"/>
    <w:rsid w:val="00BC0B3F"/>
    <w:rsid w:val="00BC377A"/>
    <w:rsid w:val="00BC3DC2"/>
    <w:rsid w:val="00BD1BD2"/>
    <w:rsid w:val="00BD5F01"/>
    <w:rsid w:val="00BD692E"/>
    <w:rsid w:val="00BD7BB9"/>
    <w:rsid w:val="00BE0190"/>
    <w:rsid w:val="00BE168F"/>
    <w:rsid w:val="00BE2345"/>
    <w:rsid w:val="00BE26EB"/>
    <w:rsid w:val="00BF6267"/>
    <w:rsid w:val="00C03791"/>
    <w:rsid w:val="00C0783E"/>
    <w:rsid w:val="00C1015A"/>
    <w:rsid w:val="00C157DE"/>
    <w:rsid w:val="00C172F0"/>
    <w:rsid w:val="00C21F70"/>
    <w:rsid w:val="00C23BD6"/>
    <w:rsid w:val="00C32B54"/>
    <w:rsid w:val="00C41615"/>
    <w:rsid w:val="00C436A5"/>
    <w:rsid w:val="00C51AFA"/>
    <w:rsid w:val="00C660E3"/>
    <w:rsid w:val="00C67FE3"/>
    <w:rsid w:val="00C730C6"/>
    <w:rsid w:val="00C827EC"/>
    <w:rsid w:val="00C906CC"/>
    <w:rsid w:val="00CA711A"/>
    <w:rsid w:val="00CB2540"/>
    <w:rsid w:val="00CB7B56"/>
    <w:rsid w:val="00CC08A4"/>
    <w:rsid w:val="00CC1327"/>
    <w:rsid w:val="00CC2E64"/>
    <w:rsid w:val="00CC3BA5"/>
    <w:rsid w:val="00CC79FE"/>
    <w:rsid w:val="00CD00AB"/>
    <w:rsid w:val="00CD0E0D"/>
    <w:rsid w:val="00CD18A1"/>
    <w:rsid w:val="00CD4A8B"/>
    <w:rsid w:val="00CE5669"/>
    <w:rsid w:val="00D036E1"/>
    <w:rsid w:val="00D04425"/>
    <w:rsid w:val="00D17299"/>
    <w:rsid w:val="00D226D1"/>
    <w:rsid w:val="00D32AA6"/>
    <w:rsid w:val="00D41645"/>
    <w:rsid w:val="00D45956"/>
    <w:rsid w:val="00D50B95"/>
    <w:rsid w:val="00D5519E"/>
    <w:rsid w:val="00D55C01"/>
    <w:rsid w:val="00D60B42"/>
    <w:rsid w:val="00D74F80"/>
    <w:rsid w:val="00D75DEE"/>
    <w:rsid w:val="00D836D4"/>
    <w:rsid w:val="00D840A8"/>
    <w:rsid w:val="00D933A1"/>
    <w:rsid w:val="00D95035"/>
    <w:rsid w:val="00DA10CB"/>
    <w:rsid w:val="00DA6796"/>
    <w:rsid w:val="00DC0143"/>
    <w:rsid w:val="00DC173C"/>
    <w:rsid w:val="00DC2AAE"/>
    <w:rsid w:val="00DC368A"/>
    <w:rsid w:val="00DC463A"/>
    <w:rsid w:val="00DD0C92"/>
    <w:rsid w:val="00DD3B5C"/>
    <w:rsid w:val="00DE1EEF"/>
    <w:rsid w:val="00DE4ABC"/>
    <w:rsid w:val="00DE66E8"/>
    <w:rsid w:val="00DF4312"/>
    <w:rsid w:val="00E0649A"/>
    <w:rsid w:val="00E108B0"/>
    <w:rsid w:val="00E20DC6"/>
    <w:rsid w:val="00E30CDF"/>
    <w:rsid w:val="00E3769E"/>
    <w:rsid w:val="00E41731"/>
    <w:rsid w:val="00E42D69"/>
    <w:rsid w:val="00E4481C"/>
    <w:rsid w:val="00E44D42"/>
    <w:rsid w:val="00E660AE"/>
    <w:rsid w:val="00E74BA8"/>
    <w:rsid w:val="00E74C3A"/>
    <w:rsid w:val="00E76323"/>
    <w:rsid w:val="00E776D5"/>
    <w:rsid w:val="00E8605F"/>
    <w:rsid w:val="00E9048D"/>
    <w:rsid w:val="00E914DF"/>
    <w:rsid w:val="00E95D8D"/>
    <w:rsid w:val="00EA00AC"/>
    <w:rsid w:val="00EA296F"/>
    <w:rsid w:val="00EA633F"/>
    <w:rsid w:val="00EA79ED"/>
    <w:rsid w:val="00EB4E8E"/>
    <w:rsid w:val="00EC024E"/>
    <w:rsid w:val="00EC500F"/>
    <w:rsid w:val="00EC6AC7"/>
    <w:rsid w:val="00ED46C6"/>
    <w:rsid w:val="00ED47BB"/>
    <w:rsid w:val="00ED7A32"/>
    <w:rsid w:val="00EE2F9E"/>
    <w:rsid w:val="00EF5BC6"/>
    <w:rsid w:val="00EF65F3"/>
    <w:rsid w:val="00EF6B62"/>
    <w:rsid w:val="00EF76B9"/>
    <w:rsid w:val="00F0008D"/>
    <w:rsid w:val="00F04956"/>
    <w:rsid w:val="00F27D55"/>
    <w:rsid w:val="00F34AA3"/>
    <w:rsid w:val="00F40B60"/>
    <w:rsid w:val="00F42698"/>
    <w:rsid w:val="00F44AC1"/>
    <w:rsid w:val="00F45B45"/>
    <w:rsid w:val="00F57560"/>
    <w:rsid w:val="00F7193B"/>
    <w:rsid w:val="00F725F6"/>
    <w:rsid w:val="00F72A80"/>
    <w:rsid w:val="00F95EA8"/>
    <w:rsid w:val="00FB171D"/>
    <w:rsid w:val="00FB263D"/>
    <w:rsid w:val="00FB5428"/>
    <w:rsid w:val="00FD5850"/>
    <w:rsid w:val="00FD6DB0"/>
    <w:rsid w:val="00FE0CA9"/>
    <w:rsid w:val="00FE3E8A"/>
    <w:rsid w:val="00FF7819"/>
    <w:rsid w:val="0B43A188"/>
    <w:rsid w:val="13BE1EA3"/>
    <w:rsid w:val="26ACE04D"/>
    <w:rsid w:val="3807C6D0"/>
    <w:rsid w:val="47F28135"/>
    <w:rsid w:val="48E3FC73"/>
    <w:rsid w:val="4F79C4E4"/>
    <w:rsid w:val="50F90695"/>
    <w:rsid w:val="53A33D6A"/>
    <w:rsid w:val="54F9D676"/>
    <w:rsid w:val="55461FDC"/>
    <w:rsid w:val="5C36A27C"/>
    <w:rsid w:val="63EAAFBC"/>
    <w:rsid w:val="6598C0A4"/>
    <w:rsid w:val="74BB0FF3"/>
    <w:rsid w:val="752D21D3"/>
    <w:rsid w:val="7BDE41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5C85F"/>
  <w15:chartTrackingRefBased/>
  <w15:docId w15:val="{2B33B0C5-DB5D-40DB-A922-C751EB3EA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5B0"/>
    <w:pPr>
      <w:spacing w:before="100" w:beforeAutospacing="1" w:after="100" w:afterAutospacing="1" w:line="240" w:lineRule="auto"/>
    </w:pPr>
    <w:rPr>
      <w:rFonts w:ascii="Roboto" w:eastAsia="Calibri" w:hAnsi="Roboto" w:cs="Times New Roman"/>
      <w:sz w:val="24"/>
      <w:szCs w:val="24"/>
    </w:rPr>
  </w:style>
  <w:style w:type="paragraph" w:styleId="Heading1">
    <w:name w:val="heading 1"/>
    <w:basedOn w:val="Normal"/>
    <w:link w:val="Heading1Char"/>
    <w:uiPriority w:val="1"/>
    <w:qFormat/>
    <w:rsid w:val="001C0EE6"/>
    <w:pPr>
      <w:widowControl w:val="0"/>
      <w:autoSpaceDE w:val="0"/>
      <w:autoSpaceDN w:val="0"/>
      <w:spacing w:line="593" w:lineRule="exact"/>
      <w:ind w:right="3088"/>
      <w:outlineLvl w:val="0"/>
    </w:pPr>
    <w:rPr>
      <w:rFonts w:eastAsia="Roboto" w:cs="Roboto"/>
      <w:b/>
      <w:bCs/>
      <w:sz w:val="36"/>
      <w:szCs w:val="52"/>
      <w:lang w:eastAsia="en-AU" w:bidi="en-AU"/>
    </w:rPr>
  </w:style>
  <w:style w:type="paragraph" w:styleId="Heading2">
    <w:name w:val="heading 2"/>
    <w:basedOn w:val="Normal"/>
    <w:next w:val="Normal"/>
    <w:link w:val="Heading2Char"/>
    <w:uiPriority w:val="9"/>
    <w:unhideWhenUsed/>
    <w:qFormat/>
    <w:rsid w:val="001C0EE6"/>
    <w:pPr>
      <w:keepNext/>
      <w:keepLines/>
      <w:spacing w:before="280" w:after="240"/>
      <w:outlineLvl w:val="1"/>
    </w:pPr>
    <w:rPr>
      <w:rFonts w:eastAsia="Roboto" w:cstheme="majorBidi"/>
      <w:b/>
      <w:color w:val="000000" w:themeColor="text1"/>
      <w:sz w:val="28"/>
      <w:szCs w:val="26"/>
    </w:rPr>
  </w:style>
  <w:style w:type="paragraph" w:styleId="Heading3">
    <w:name w:val="heading 3"/>
    <w:basedOn w:val="Heading2"/>
    <w:next w:val="Normal"/>
    <w:link w:val="Heading3Char"/>
    <w:uiPriority w:val="9"/>
    <w:unhideWhenUsed/>
    <w:qFormat/>
    <w:rsid w:val="00D60B42"/>
    <w:pPr>
      <w:outlineLvl w:val="2"/>
    </w:pPr>
    <w:rPr>
      <w:sz w:val="24"/>
      <w:szCs w:val="24"/>
    </w:rPr>
  </w:style>
  <w:style w:type="paragraph" w:styleId="Heading4">
    <w:name w:val="heading 4"/>
    <w:basedOn w:val="Normal"/>
    <w:next w:val="Normal"/>
    <w:link w:val="Heading4Char"/>
    <w:uiPriority w:val="9"/>
    <w:semiHidden/>
    <w:unhideWhenUsed/>
    <w:qFormat/>
    <w:rsid w:val="00F95EA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F95EA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6A2F0B"/>
    <w:pPr>
      <w:widowControl w:val="0"/>
      <w:autoSpaceDE w:val="0"/>
      <w:autoSpaceDN w:val="0"/>
    </w:pPr>
    <w:rPr>
      <w:rFonts w:eastAsia="Roboto" w:cs="Roboto"/>
      <w:sz w:val="36"/>
      <w:szCs w:val="36"/>
      <w:lang w:eastAsia="en-AU" w:bidi="en-AU"/>
    </w:rPr>
  </w:style>
  <w:style w:type="character" w:customStyle="1" w:styleId="BodyTextChar">
    <w:name w:val="Body Text Char"/>
    <w:basedOn w:val="DefaultParagraphFont"/>
    <w:link w:val="BodyText"/>
    <w:uiPriority w:val="1"/>
    <w:rsid w:val="006A2F0B"/>
    <w:rPr>
      <w:rFonts w:ascii="Roboto" w:eastAsia="Roboto" w:hAnsi="Roboto" w:cs="Roboto"/>
      <w:sz w:val="36"/>
      <w:szCs w:val="36"/>
      <w:lang w:eastAsia="en-AU" w:bidi="en-AU"/>
    </w:rPr>
  </w:style>
  <w:style w:type="paragraph" w:styleId="ListParagraph">
    <w:name w:val="List Paragraph"/>
    <w:basedOn w:val="Normal"/>
    <w:uiPriority w:val="1"/>
    <w:qFormat/>
    <w:rsid w:val="006A2F0B"/>
    <w:pPr>
      <w:widowControl w:val="0"/>
      <w:autoSpaceDE w:val="0"/>
      <w:autoSpaceDN w:val="0"/>
      <w:ind w:left="568" w:hanging="452"/>
    </w:pPr>
    <w:rPr>
      <w:rFonts w:eastAsia="Roboto" w:cs="Roboto"/>
      <w:lang w:eastAsia="en-AU" w:bidi="en-AU"/>
    </w:rPr>
  </w:style>
  <w:style w:type="character" w:styleId="CommentReference">
    <w:name w:val="annotation reference"/>
    <w:basedOn w:val="DefaultParagraphFont"/>
    <w:uiPriority w:val="99"/>
    <w:semiHidden/>
    <w:unhideWhenUsed/>
    <w:rsid w:val="0050088E"/>
    <w:rPr>
      <w:sz w:val="16"/>
      <w:szCs w:val="16"/>
    </w:rPr>
  </w:style>
  <w:style w:type="paragraph" w:styleId="CommentText">
    <w:name w:val="annotation text"/>
    <w:basedOn w:val="Normal"/>
    <w:link w:val="CommentTextChar"/>
    <w:uiPriority w:val="99"/>
    <w:semiHidden/>
    <w:unhideWhenUsed/>
    <w:rsid w:val="0050088E"/>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50088E"/>
    <w:rPr>
      <w:sz w:val="20"/>
      <w:szCs w:val="20"/>
    </w:rPr>
  </w:style>
  <w:style w:type="paragraph" w:styleId="BalloonText">
    <w:name w:val="Balloon Text"/>
    <w:basedOn w:val="Normal"/>
    <w:link w:val="BalloonTextChar"/>
    <w:uiPriority w:val="99"/>
    <w:semiHidden/>
    <w:unhideWhenUsed/>
    <w:rsid w:val="005008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088E"/>
    <w:rPr>
      <w:rFonts w:ascii="Segoe UI" w:eastAsia="Calibri" w:hAnsi="Segoe UI" w:cs="Segoe UI"/>
      <w:sz w:val="18"/>
      <w:szCs w:val="18"/>
    </w:rPr>
  </w:style>
  <w:style w:type="paragraph" w:styleId="Revision">
    <w:name w:val="Revision"/>
    <w:hidden/>
    <w:uiPriority w:val="99"/>
    <w:semiHidden/>
    <w:rsid w:val="000D64B3"/>
    <w:pPr>
      <w:spacing w:after="0" w:line="240" w:lineRule="auto"/>
    </w:pPr>
    <w:rPr>
      <w:rFonts w:ascii="Calibri" w:eastAsia="Calibri" w:hAnsi="Calibri" w:cs="Times New Roman"/>
    </w:rPr>
  </w:style>
  <w:style w:type="paragraph" w:styleId="CommentSubject">
    <w:name w:val="annotation subject"/>
    <w:basedOn w:val="CommentText"/>
    <w:next w:val="CommentText"/>
    <w:link w:val="CommentSubjectChar"/>
    <w:uiPriority w:val="99"/>
    <w:semiHidden/>
    <w:unhideWhenUsed/>
    <w:rsid w:val="00AA2055"/>
    <w:pPr>
      <w:spacing w:after="0"/>
    </w:pPr>
    <w:rPr>
      <w:rFonts w:ascii="Calibri" w:eastAsia="Calibri" w:hAnsi="Calibri" w:cs="Times New Roman"/>
      <w:b/>
      <w:bCs/>
    </w:rPr>
  </w:style>
  <w:style w:type="character" w:customStyle="1" w:styleId="CommentSubjectChar">
    <w:name w:val="Comment Subject Char"/>
    <w:basedOn w:val="CommentTextChar"/>
    <w:link w:val="CommentSubject"/>
    <w:uiPriority w:val="99"/>
    <w:semiHidden/>
    <w:rsid w:val="00AA2055"/>
    <w:rPr>
      <w:rFonts w:ascii="Calibri" w:eastAsia="Calibri" w:hAnsi="Calibri" w:cs="Times New Roman"/>
      <w:b/>
      <w:bCs/>
      <w:sz w:val="20"/>
      <w:szCs w:val="20"/>
    </w:rPr>
  </w:style>
  <w:style w:type="character" w:customStyle="1" w:styleId="Heading1Char">
    <w:name w:val="Heading 1 Char"/>
    <w:basedOn w:val="DefaultParagraphFont"/>
    <w:link w:val="Heading1"/>
    <w:uiPriority w:val="1"/>
    <w:rsid w:val="001C0EE6"/>
    <w:rPr>
      <w:rFonts w:ascii="Roboto" w:eastAsia="Roboto" w:hAnsi="Roboto" w:cs="Roboto"/>
      <w:b/>
      <w:bCs/>
      <w:sz w:val="36"/>
      <w:szCs w:val="52"/>
      <w:lang w:eastAsia="en-AU" w:bidi="en-AU"/>
    </w:rPr>
  </w:style>
  <w:style w:type="paragraph" w:styleId="Header">
    <w:name w:val="header"/>
    <w:basedOn w:val="Normal"/>
    <w:link w:val="HeaderChar"/>
    <w:unhideWhenUsed/>
    <w:rsid w:val="009B7711"/>
    <w:pPr>
      <w:tabs>
        <w:tab w:val="center" w:pos="4513"/>
        <w:tab w:val="right" w:pos="9026"/>
      </w:tabs>
    </w:pPr>
  </w:style>
  <w:style w:type="character" w:customStyle="1" w:styleId="HeaderChar">
    <w:name w:val="Header Char"/>
    <w:basedOn w:val="DefaultParagraphFont"/>
    <w:link w:val="Header"/>
    <w:rsid w:val="009B7711"/>
    <w:rPr>
      <w:rFonts w:ascii="Calibri" w:eastAsia="Calibri" w:hAnsi="Calibri" w:cs="Times New Roman"/>
    </w:rPr>
  </w:style>
  <w:style w:type="paragraph" w:styleId="Footer">
    <w:name w:val="footer"/>
    <w:basedOn w:val="Normal"/>
    <w:link w:val="FooterChar"/>
    <w:uiPriority w:val="99"/>
    <w:unhideWhenUsed/>
    <w:qFormat/>
    <w:rsid w:val="009B7711"/>
    <w:pPr>
      <w:tabs>
        <w:tab w:val="center" w:pos="4513"/>
        <w:tab w:val="right" w:pos="9026"/>
      </w:tabs>
    </w:pPr>
  </w:style>
  <w:style w:type="character" w:customStyle="1" w:styleId="FooterChar">
    <w:name w:val="Footer Char"/>
    <w:basedOn w:val="DefaultParagraphFont"/>
    <w:link w:val="Footer"/>
    <w:uiPriority w:val="99"/>
    <w:rsid w:val="009B7711"/>
    <w:rPr>
      <w:rFonts w:ascii="Calibri" w:eastAsia="Calibri" w:hAnsi="Calibri" w:cs="Times New Roman"/>
    </w:rPr>
  </w:style>
  <w:style w:type="paragraph" w:customStyle="1" w:styleId="Intro13ptLight">
    <w:name w:val="Intro 13pt Light"/>
    <w:basedOn w:val="Normal"/>
    <w:uiPriority w:val="99"/>
    <w:rsid w:val="00FB263D"/>
    <w:pPr>
      <w:suppressAutoHyphens/>
      <w:autoSpaceDE w:val="0"/>
      <w:autoSpaceDN w:val="0"/>
      <w:adjustRightInd w:val="0"/>
      <w:spacing w:after="170" w:line="288" w:lineRule="auto"/>
      <w:textAlignment w:val="center"/>
    </w:pPr>
    <w:rPr>
      <w:rFonts w:ascii="Roboto Light" w:eastAsiaTheme="minorHAnsi" w:hAnsi="Roboto Light" w:cs="Roboto Light"/>
      <w:b/>
      <w:bCs/>
      <w:color w:val="404041"/>
      <w:sz w:val="26"/>
      <w:szCs w:val="26"/>
      <w:lang w:val="en-GB"/>
    </w:rPr>
  </w:style>
  <w:style w:type="paragraph" w:customStyle="1" w:styleId="Body1013pt">
    <w:name w:val="Body 10/13pt"/>
    <w:basedOn w:val="Normal"/>
    <w:uiPriority w:val="99"/>
    <w:rsid w:val="00FB263D"/>
    <w:pPr>
      <w:suppressAutoHyphens/>
      <w:autoSpaceDE w:val="0"/>
      <w:autoSpaceDN w:val="0"/>
      <w:adjustRightInd w:val="0"/>
      <w:spacing w:after="113" w:line="260" w:lineRule="atLeast"/>
      <w:textAlignment w:val="center"/>
    </w:pPr>
    <w:rPr>
      <w:rFonts w:ascii="Roboto Light" w:eastAsiaTheme="minorHAnsi" w:hAnsi="Roboto Light" w:cs="Roboto Light"/>
      <w:color w:val="000000"/>
      <w:sz w:val="20"/>
      <w:szCs w:val="20"/>
      <w:lang w:val="en-US"/>
    </w:rPr>
  </w:style>
  <w:style w:type="paragraph" w:customStyle="1" w:styleId="BodyGeneral">
    <w:name w:val="Body (General)"/>
    <w:basedOn w:val="Normal"/>
    <w:uiPriority w:val="99"/>
    <w:rsid w:val="00FB263D"/>
    <w:pPr>
      <w:suppressAutoHyphens/>
      <w:autoSpaceDE w:val="0"/>
      <w:autoSpaceDN w:val="0"/>
      <w:adjustRightInd w:val="0"/>
      <w:spacing w:after="113" w:line="260" w:lineRule="atLeast"/>
      <w:textAlignment w:val="center"/>
    </w:pPr>
    <w:rPr>
      <w:rFonts w:ascii="Roboto Light" w:eastAsiaTheme="minorHAnsi" w:hAnsi="Roboto Light" w:cs="Roboto Light"/>
      <w:color w:val="000000"/>
      <w:spacing w:val="10"/>
      <w:sz w:val="20"/>
      <w:szCs w:val="20"/>
      <w:lang w:val="en-US"/>
    </w:rPr>
  </w:style>
  <w:style w:type="paragraph" w:customStyle="1" w:styleId="BODY10143COL">
    <w:name w:val="BODY 10/14 3 COL"/>
    <w:basedOn w:val="Normal"/>
    <w:uiPriority w:val="99"/>
    <w:rsid w:val="003B604F"/>
    <w:pPr>
      <w:suppressAutoHyphens/>
      <w:autoSpaceDE w:val="0"/>
      <w:autoSpaceDN w:val="0"/>
      <w:adjustRightInd w:val="0"/>
      <w:spacing w:after="113" w:line="280" w:lineRule="atLeast"/>
      <w:textAlignment w:val="center"/>
    </w:pPr>
    <w:rPr>
      <w:rFonts w:ascii="Roboto Light" w:eastAsiaTheme="minorHAnsi" w:hAnsi="Roboto Light" w:cs="Roboto Light"/>
      <w:color w:val="000000"/>
      <w:spacing w:val="10"/>
      <w:sz w:val="20"/>
      <w:szCs w:val="20"/>
      <w:lang w:val="en-US"/>
    </w:rPr>
  </w:style>
  <w:style w:type="paragraph" w:customStyle="1" w:styleId="team1Team">
    <w:name w:val="team 1 (Team)"/>
    <w:basedOn w:val="Normal"/>
    <w:uiPriority w:val="99"/>
    <w:rsid w:val="006B4695"/>
    <w:pPr>
      <w:suppressAutoHyphens/>
      <w:autoSpaceDE w:val="0"/>
      <w:autoSpaceDN w:val="0"/>
      <w:adjustRightInd w:val="0"/>
      <w:spacing w:after="113" w:line="320" w:lineRule="atLeast"/>
      <w:ind w:left="113" w:right="113"/>
      <w:textAlignment w:val="center"/>
    </w:pPr>
    <w:rPr>
      <w:rFonts w:ascii="Roboto Slab" w:eastAsiaTheme="minorHAnsi" w:hAnsi="Roboto Slab" w:cs="Roboto Slab"/>
      <w:color w:val="000000"/>
      <w:spacing w:val="10"/>
      <w:sz w:val="20"/>
      <w:szCs w:val="20"/>
      <w:lang w:val="en-US"/>
    </w:rPr>
  </w:style>
  <w:style w:type="paragraph" w:customStyle="1" w:styleId="team2Team">
    <w:name w:val="team 2 (Team)"/>
    <w:basedOn w:val="Normal"/>
    <w:uiPriority w:val="99"/>
    <w:rsid w:val="006B4695"/>
    <w:pPr>
      <w:suppressAutoHyphens/>
      <w:autoSpaceDE w:val="0"/>
      <w:autoSpaceDN w:val="0"/>
      <w:adjustRightInd w:val="0"/>
      <w:spacing w:after="283" w:line="320" w:lineRule="atLeast"/>
      <w:textAlignment w:val="center"/>
    </w:pPr>
    <w:rPr>
      <w:rFonts w:ascii="Roboto Light" w:eastAsiaTheme="minorHAnsi" w:hAnsi="Roboto Light" w:cs="Roboto Light"/>
      <w:i/>
      <w:iCs/>
      <w:color w:val="1695A3"/>
      <w:spacing w:val="10"/>
      <w:sz w:val="20"/>
      <w:szCs w:val="20"/>
      <w:lang w:val="en-US"/>
    </w:rPr>
  </w:style>
  <w:style w:type="paragraph" w:customStyle="1" w:styleId="Body10142Col">
    <w:name w:val="Body 10/14 2 Col"/>
    <w:basedOn w:val="Normal"/>
    <w:uiPriority w:val="99"/>
    <w:rsid w:val="006B4695"/>
    <w:pPr>
      <w:suppressAutoHyphens/>
      <w:autoSpaceDE w:val="0"/>
      <w:autoSpaceDN w:val="0"/>
      <w:adjustRightInd w:val="0"/>
      <w:spacing w:after="113" w:line="280" w:lineRule="atLeast"/>
      <w:textAlignment w:val="center"/>
    </w:pPr>
    <w:rPr>
      <w:rFonts w:ascii="Roboto Light" w:eastAsiaTheme="minorHAnsi" w:hAnsi="Roboto Light" w:cs="Roboto Light"/>
      <w:color w:val="000000"/>
      <w:spacing w:val="10"/>
      <w:sz w:val="20"/>
      <w:szCs w:val="20"/>
      <w:lang w:val="en-US"/>
    </w:rPr>
  </w:style>
  <w:style w:type="paragraph" w:customStyle="1" w:styleId="Subhead1214Regular">
    <w:name w:val="Subhead 12/14 Regular"/>
    <w:basedOn w:val="Normal"/>
    <w:uiPriority w:val="99"/>
    <w:rsid w:val="006B4695"/>
    <w:pPr>
      <w:suppressAutoHyphens/>
      <w:autoSpaceDE w:val="0"/>
      <w:autoSpaceDN w:val="0"/>
      <w:adjustRightInd w:val="0"/>
      <w:spacing w:before="113" w:after="170" w:line="280" w:lineRule="atLeast"/>
      <w:textAlignment w:val="center"/>
    </w:pPr>
    <w:rPr>
      <w:rFonts w:eastAsiaTheme="minorHAnsi" w:cs="Roboto"/>
      <w:caps/>
      <w:color w:val="1F96A0"/>
      <w:lang w:val="en-US"/>
    </w:rPr>
  </w:style>
  <w:style w:type="paragraph" w:customStyle="1" w:styleId="BasicParagraph">
    <w:name w:val="[Basic Paragraph]"/>
    <w:basedOn w:val="Normal"/>
    <w:uiPriority w:val="99"/>
    <w:rsid w:val="00C730C6"/>
    <w:pPr>
      <w:suppressAutoHyphens/>
      <w:autoSpaceDE w:val="0"/>
      <w:autoSpaceDN w:val="0"/>
      <w:adjustRightInd w:val="0"/>
      <w:spacing w:line="320" w:lineRule="atLeast"/>
      <w:textAlignment w:val="center"/>
    </w:pPr>
    <w:rPr>
      <w:rFonts w:ascii="Roboto Light" w:eastAsiaTheme="minorHAnsi" w:hAnsi="Roboto Light" w:cs="Roboto Light"/>
      <w:color w:val="000000"/>
      <w:spacing w:val="10"/>
      <w:sz w:val="20"/>
      <w:szCs w:val="20"/>
      <w:lang w:val="en-US"/>
    </w:rPr>
  </w:style>
  <w:style w:type="paragraph" w:customStyle="1" w:styleId="Subhead1214ptRegular">
    <w:name w:val="Subhead 12/14pt Regular"/>
    <w:basedOn w:val="Normal"/>
    <w:uiPriority w:val="99"/>
    <w:rsid w:val="00E44D42"/>
    <w:pPr>
      <w:suppressAutoHyphens/>
      <w:autoSpaceDE w:val="0"/>
      <w:autoSpaceDN w:val="0"/>
      <w:adjustRightInd w:val="0"/>
      <w:spacing w:before="113" w:after="170" w:line="280" w:lineRule="atLeast"/>
      <w:textAlignment w:val="center"/>
    </w:pPr>
    <w:rPr>
      <w:rFonts w:eastAsiaTheme="minorHAnsi" w:cs="Roboto"/>
      <w:caps/>
      <w:color w:val="1F96A0"/>
      <w:lang w:val="en-US"/>
    </w:rPr>
  </w:style>
  <w:style w:type="paragraph" w:customStyle="1" w:styleId="Body1014">
    <w:name w:val="Body 10/14"/>
    <w:basedOn w:val="Normal"/>
    <w:uiPriority w:val="99"/>
    <w:rsid w:val="00282721"/>
    <w:pPr>
      <w:suppressAutoHyphens/>
      <w:autoSpaceDE w:val="0"/>
      <w:autoSpaceDN w:val="0"/>
      <w:adjustRightInd w:val="0"/>
      <w:spacing w:after="113" w:line="280" w:lineRule="atLeast"/>
      <w:textAlignment w:val="center"/>
    </w:pPr>
    <w:rPr>
      <w:rFonts w:ascii="Roboto Light" w:eastAsiaTheme="minorHAnsi" w:hAnsi="Roboto Light" w:cs="Roboto Light"/>
      <w:color w:val="000000"/>
      <w:spacing w:val="10"/>
      <w:sz w:val="20"/>
      <w:szCs w:val="20"/>
      <w:lang w:val="en-US"/>
    </w:rPr>
  </w:style>
  <w:style w:type="paragraph" w:customStyle="1" w:styleId="SUBHEAD1214LIGHTSentence">
    <w:name w:val="SUBHEAD 12/14 LIGHT Sentence"/>
    <w:basedOn w:val="Normal"/>
    <w:uiPriority w:val="99"/>
    <w:rsid w:val="000A6450"/>
    <w:pPr>
      <w:suppressAutoHyphens/>
      <w:autoSpaceDE w:val="0"/>
      <w:autoSpaceDN w:val="0"/>
      <w:adjustRightInd w:val="0"/>
      <w:spacing w:before="113" w:after="170" w:line="280" w:lineRule="atLeast"/>
      <w:textAlignment w:val="center"/>
    </w:pPr>
    <w:rPr>
      <w:rFonts w:ascii="Roboto Light" w:eastAsiaTheme="minorHAnsi" w:hAnsi="Roboto Light" w:cs="Roboto Light"/>
      <w:color w:val="1F96A0"/>
      <w:lang w:val="en-US"/>
    </w:rPr>
  </w:style>
  <w:style w:type="paragraph" w:customStyle="1" w:styleId="Body1013ptcopy2Col">
    <w:name w:val="Body 10/13pt copy 2Col"/>
    <w:basedOn w:val="Normal"/>
    <w:uiPriority w:val="99"/>
    <w:rsid w:val="00CC3BA5"/>
    <w:pPr>
      <w:suppressAutoHyphens/>
      <w:autoSpaceDE w:val="0"/>
      <w:autoSpaceDN w:val="0"/>
      <w:adjustRightInd w:val="0"/>
      <w:spacing w:after="113" w:line="260" w:lineRule="atLeast"/>
      <w:textAlignment w:val="center"/>
    </w:pPr>
    <w:rPr>
      <w:rFonts w:ascii="Roboto Light" w:eastAsiaTheme="minorHAnsi" w:hAnsi="Roboto Light" w:cs="Roboto Light"/>
      <w:color w:val="000000"/>
      <w:sz w:val="20"/>
      <w:szCs w:val="20"/>
      <w:lang w:val="en-US"/>
    </w:rPr>
  </w:style>
  <w:style w:type="paragraph" w:customStyle="1" w:styleId="Subhead1214ptmedium">
    <w:name w:val="Subhead 12/14pt medium"/>
    <w:basedOn w:val="Normal"/>
    <w:uiPriority w:val="99"/>
    <w:rsid w:val="00CC3BA5"/>
    <w:pPr>
      <w:suppressAutoHyphens/>
      <w:autoSpaceDE w:val="0"/>
      <w:autoSpaceDN w:val="0"/>
      <w:adjustRightInd w:val="0"/>
      <w:spacing w:before="113" w:after="170" w:line="280" w:lineRule="atLeast"/>
      <w:textAlignment w:val="center"/>
    </w:pPr>
    <w:rPr>
      <w:rFonts w:ascii="Roboto Medium" w:eastAsiaTheme="minorHAnsi" w:hAnsi="Roboto Medium" w:cs="Roboto Medium"/>
      <w:color w:val="1F96A0"/>
      <w:lang w:val="en-US"/>
    </w:rPr>
  </w:style>
  <w:style w:type="paragraph" w:customStyle="1" w:styleId="Subhead1214ptLight3Col">
    <w:name w:val="Subhead 12/14pt Light 3 Col"/>
    <w:basedOn w:val="Normal"/>
    <w:uiPriority w:val="99"/>
    <w:rsid w:val="00CC3BA5"/>
    <w:pPr>
      <w:suppressAutoHyphens/>
      <w:autoSpaceDE w:val="0"/>
      <w:autoSpaceDN w:val="0"/>
      <w:adjustRightInd w:val="0"/>
      <w:spacing w:before="113" w:after="170" w:line="280" w:lineRule="atLeast"/>
      <w:textAlignment w:val="center"/>
    </w:pPr>
    <w:rPr>
      <w:rFonts w:ascii="Roboto Light" w:eastAsiaTheme="minorHAnsi" w:hAnsi="Roboto Light" w:cs="Roboto Light"/>
      <w:color w:val="1F96A0"/>
      <w:lang w:val="en-US"/>
    </w:rPr>
  </w:style>
  <w:style w:type="paragraph" w:customStyle="1" w:styleId="Body10142ColBullets">
    <w:name w:val="Body 10/14 2 Col Bullets"/>
    <w:basedOn w:val="Body10142Col"/>
    <w:uiPriority w:val="99"/>
    <w:rsid w:val="00B57F88"/>
    <w:pPr>
      <w:spacing w:after="0"/>
      <w:ind w:left="360" w:hanging="360"/>
    </w:pPr>
  </w:style>
  <w:style w:type="paragraph" w:customStyle="1" w:styleId="TableBodyCopy">
    <w:name w:val="Table Body Copy"/>
    <w:basedOn w:val="Normal"/>
    <w:uiPriority w:val="99"/>
    <w:rsid w:val="00FF7819"/>
    <w:pPr>
      <w:autoSpaceDE w:val="0"/>
      <w:autoSpaceDN w:val="0"/>
      <w:adjustRightInd w:val="0"/>
      <w:spacing w:line="140" w:lineRule="atLeast"/>
      <w:textAlignment w:val="center"/>
    </w:pPr>
    <w:rPr>
      <w:rFonts w:ascii="Roboto Light" w:eastAsiaTheme="minorHAnsi" w:hAnsi="Roboto Light" w:cs="Roboto Light"/>
      <w:color w:val="000000"/>
      <w:sz w:val="16"/>
      <w:szCs w:val="16"/>
      <w:lang w:val="en-US"/>
    </w:rPr>
  </w:style>
  <w:style w:type="paragraph" w:customStyle="1" w:styleId="TableHEADINGWHITE">
    <w:name w:val="Table HEADING WHITE"/>
    <w:basedOn w:val="TableBodyCopy"/>
    <w:uiPriority w:val="99"/>
    <w:rsid w:val="00FF7819"/>
    <w:rPr>
      <w:rFonts w:ascii="Roboto" w:hAnsi="Roboto" w:cs="Roboto"/>
      <w:b/>
      <w:bCs/>
      <w:color w:val="FFFFFF"/>
    </w:rPr>
  </w:style>
  <w:style w:type="paragraph" w:customStyle="1" w:styleId="TableBodyCentre">
    <w:name w:val="Table Body Centre"/>
    <w:basedOn w:val="TableBodyCopy"/>
    <w:uiPriority w:val="99"/>
    <w:rsid w:val="00FF7819"/>
    <w:pPr>
      <w:jc w:val="center"/>
    </w:pPr>
  </w:style>
  <w:style w:type="paragraph" w:customStyle="1" w:styleId="Header3234ptCapsLight">
    <w:name w:val="Header 32/34pt Caps Light"/>
    <w:basedOn w:val="Normal"/>
    <w:uiPriority w:val="99"/>
    <w:rsid w:val="00B36D25"/>
    <w:pPr>
      <w:suppressAutoHyphens/>
      <w:autoSpaceDE w:val="0"/>
      <w:autoSpaceDN w:val="0"/>
      <w:adjustRightInd w:val="0"/>
      <w:spacing w:after="170" w:line="680" w:lineRule="atLeast"/>
      <w:textAlignment w:val="center"/>
    </w:pPr>
    <w:rPr>
      <w:rFonts w:ascii="Roboto Light" w:eastAsiaTheme="minorHAnsi" w:hAnsi="Roboto Light" w:cs="Roboto Light"/>
      <w:b/>
      <w:bCs/>
      <w:caps/>
      <w:color w:val="2DC19E"/>
      <w:sz w:val="64"/>
      <w:szCs w:val="64"/>
      <w:lang w:val="en-GB"/>
    </w:rPr>
  </w:style>
  <w:style w:type="paragraph" w:customStyle="1" w:styleId="SUBTITLE5General">
    <w:name w:val="SUBTITLE 5 (General)"/>
    <w:basedOn w:val="Body1013pt"/>
    <w:uiPriority w:val="99"/>
    <w:rsid w:val="00B21EE7"/>
    <w:pPr>
      <w:tabs>
        <w:tab w:val="decimal" w:pos="7280"/>
        <w:tab w:val="right" w:pos="9600"/>
      </w:tabs>
      <w:spacing w:before="227" w:after="57" w:line="288" w:lineRule="auto"/>
    </w:pPr>
    <w:rPr>
      <w:rFonts w:ascii="Roboto" w:hAnsi="Roboto" w:cs="Roboto"/>
      <w:b/>
      <w:bCs/>
      <w:caps/>
      <w:color w:val="1695A3"/>
      <w:sz w:val="26"/>
      <w:szCs w:val="26"/>
      <w:lang w:val="en-GB"/>
    </w:rPr>
  </w:style>
  <w:style w:type="character" w:customStyle="1" w:styleId="Heading2Char">
    <w:name w:val="Heading 2 Char"/>
    <w:basedOn w:val="DefaultParagraphFont"/>
    <w:link w:val="Heading2"/>
    <w:uiPriority w:val="9"/>
    <w:rsid w:val="001C0EE6"/>
    <w:rPr>
      <w:rFonts w:ascii="Roboto" w:eastAsia="Roboto" w:hAnsi="Roboto" w:cstheme="majorBidi"/>
      <w:b/>
      <w:color w:val="000000" w:themeColor="text1"/>
      <w:sz w:val="28"/>
      <w:szCs w:val="26"/>
    </w:rPr>
  </w:style>
  <w:style w:type="character" w:customStyle="1" w:styleId="Heading3Char">
    <w:name w:val="Heading 3 Char"/>
    <w:basedOn w:val="DefaultParagraphFont"/>
    <w:link w:val="Heading3"/>
    <w:uiPriority w:val="9"/>
    <w:rsid w:val="00D60B42"/>
    <w:rPr>
      <w:rFonts w:ascii="Roboto" w:eastAsiaTheme="majorEastAsia" w:hAnsi="Roboto" w:cstheme="majorBidi"/>
      <w:b/>
      <w:color w:val="000000" w:themeColor="text1"/>
      <w:sz w:val="24"/>
      <w:szCs w:val="24"/>
    </w:rPr>
  </w:style>
  <w:style w:type="character" w:styleId="PageNumber">
    <w:name w:val="page number"/>
    <w:basedOn w:val="DefaultParagraphFont"/>
    <w:uiPriority w:val="99"/>
    <w:semiHidden/>
    <w:unhideWhenUsed/>
    <w:rsid w:val="006A2A0D"/>
  </w:style>
  <w:style w:type="paragraph" w:customStyle="1" w:styleId="Body">
    <w:name w:val="Body"/>
    <w:basedOn w:val="BasicParagraph"/>
    <w:uiPriority w:val="99"/>
    <w:rsid w:val="005F35B0"/>
    <w:pPr>
      <w:spacing w:after="227" w:line="300" w:lineRule="atLeast"/>
    </w:pPr>
    <w:rPr>
      <w:rFonts w:ascii="Titillium" w:hAnsi="Titillium" w:cs="Titillium"/>
      <w:color w:val="4D4D4F"/>
      <w:spacing w:val="0"/>
      <w:sz w:val="18"/>
      <w:szCs w:val="18"/>
    </w:rPr>
  </w:style>
  <w:style w:type="paragraph" w:customStyle="1" w:styleId="meetourteam1">
    <w:name w:val="meet our team 1"/>
    <w:basedOn w:val="Normal"/>
    <w:uiPriority w:val="99"/>
    <w:rsid w:val="001C0EE6"/>
    <w:pPr>
      <w:autoSpaceDE w:val="0"/>
      <w:autoSpaceDN w:val="0"/>
      <w:adjustRightInd w:val="0"/>
      <w:spacing w:before="0" w:beforeAutospacing="0" w:after="0" w:afterAutospacing="0" w:line="300" w:lineRule="atLeast"/>
      <w:textAlignment w:val="center"/>
    </w:pPr>
    <w:rPr>
      <w:rFonts w:ascii="Titillium Bd" w:eastAsiaTheme="minorHAnsi" w:hAnsi="Titillium Bd" w:cs="Titillium Bd"/>
      <w:b/>
      <w:bCs/>
      <w:caps/>
      <w:color w:val="2ED9C3"/>
      <w:spacing w:val="14"/>
      <w:sz w:val="28"/>
      <w:szCs w:val="28"/>
      <w:u w:val="thick" w:color="FFFFFF"/>
      <w:lang w:val="en-US"/>
    </w:rPr>
  </w:style>
  <w:style w:type="paragraph" w:customStyle="1" w:styleId="SubTitle">
    <w:name w:val="Sub Title"/>
    <w:basedOn w:val="BasicParagraph"/>
    <w:uiPriority w:val="99"/>
    <w:rsid w:val="001C0EE6"/>
    <w:pPr>
      <w:tabs>
        <w:tab w:val="left" w:pos="567"/>
      </w:tabs>
      <w:spacing w:before="0" w:beforeAutospacing="0" w:after="0" w:afterAutospacing="0" w:line="800" w:lineRule="atLeast"/>
      <w:ind w:left="567" w:hanging="567"/>
    </w:pPr>
    <w:rPr>
      <w:rFonts w:ascii="Titillium Bd" w:hAnsi="Titillium Bd" w:cs="Titillium Bd"/>
      <w:b/>
      <w:bCs/>
      <w:color w:val="1695A3"/>
      <w:spacing w:val="0"/>
      <w:sz w:val="80"/>
      <w:szCs w:val="80"/>
    </w:rPr>
  </w:style>
  <w:style w:type="paragraph" w:customStyle="1" w:styleId="Column1">
    <w:name w:val="Column 1"/>
    <w:basedOn w:val="Normal"/>
    <w:uiPriority w:val="99"/>
    <w:rsid w:val="00DC368A"/>
    <w:pPr>
      <w:suppressAutoHyphens/>
      <w:autoSpaceDE w:val="0"/>
      <w:autoSpaceDN w:val="0"/>
      <w:adjustRightInd w:val="0"/>
      <w:spacing w:before="0" w:beforeAutospacing="0" w:after="227" w:afterAutospacing="0" w:line="300" w:lineRule="atLeast"/>
      <w:textAlignment w:val="center"/>
    </w:pPr>
    <w:rPr>
      <w:rFonts w:ascii="Titillium" w:eastAsiaTheme="minorHAnsi" w:hAnsi="Titillium" w:cs="Titillium"/>
      <w:color w:val="4D4D4F"/>
      <w:spacing w:val="5"/>
      <w:sz w:val="18"/>
      <w:szCs w:val="18"/>
      <w:lang w:val="en-US"/>
    </w:rPr>
  </w:style>
  <w:style w:type="paragraph" w:customStyle="1" w:styleId="meetourteam2">
    <w:name w:val="meet our team 2"/>
    <w:basedOn w:val="meetourteam1"/>
    <w:uiPriority w:val="99"/>
    <w:rsid w:val="00973474"/>
    <w:pPr>
      <w:spacing w:after="227"/>
    </w:pPr>
    <w:rPr>
      <w:rFonts w:ascii="Titillium Lt" w:hAnsi="Titillium Lt" w:cs="Titillium Lt"/>
      <w:b w:val="0"/>
      <w:bCs w:val="0"/>
      <w:i/>
      <w:iCs/>
      <w:caps w:val="0"/>
      <w:color w:val="BCBBB3"/>
      <w:spacing w:val="9"/>
      <w:sz w:val="18"/>
      <w:szCs w:val="18"/>
    </w:rPr>
  </w:style>
  <w:style w:type="character" w:styleId="Hyperlink">
    <w:name w:val="Hyperlink"/>
    <w:basedOn w:val="DefaultParagraphFont"/>
    <w:uiPriority w:val="99"/>
    <w:unhideWhenUsed/>
    <w:rsid w:val="008469CF"/>
    <w:rPr>
      <w:color w:val="0000FF"/>
      <w:u w:val="single"/>
    </w:rPr>
  </w:style>
  <w:style w:type="paragraph" w:customStyle="1" w:styleId="COLUMN2">
    <w:name w:val="COLUMN 2"/>
    <w:basedOn w:val="BasicParagraph"/>
    <w:uiPriority w:val="99"/>
    <w:rsid w:val="009E40B8"/>
    <w:pPr>
      <w:spacing w:before="0" w:beforeAutospacing="0" w:after="113" w:afterAutospacing="0" w:line="300" w:lineRule="atLeast"/>
    </w:pPr>
    <w:rPr>
      <w:rFonts w:ascii="Titillium" w:hAnsi="Titillium" w:cs="Titillium"/>
      <w:color w:val="4D4D4F"/>
      <w:spacing w:val="0"/>
      <w:sz w:val="18"/>
      <w:szCs w:val="18"/>
    </w:rPr>
  </w:style>
  <w:style w:type="paragraph" w:customStyle="1" w:styleId="Column1TBlack">
    <w:name w:val="Column 1 T Black"/>
    <w:basedOn w:val="Column1"/>
    <w:uiPriority w:val="99"/>
    <w:rsid w:val="00514558"/>
    <w:rPr>
      <w:rFonts w:ascii="Titillium Bd" w:hAnsi="Titillium Bd" w:cs="Titillium Bd"/>
      <w:b/>
      <w:bCs/>
      <w:spacing w:val="7"/>
      <w:sz w:val="24"/>
      <w:szCs w:val="24"/>
    </w:rPr>
  </w:style>
  <w:style w:type="character" w:customStyle="1" w:styleId="white">
    <w:name w:val="white"/>
    <w:uiPriority w:val="99"/>
    <w:rsid w:val="00794869"/>
    <w:rPr>
      <w:color w:val="BCBBB3"/>
    </w:rPr>
  </w:style>
  <w:style w:type="table" w:styleId="TableGrid">
    <w:name w:val="Table Grid"/>
    <w:basedOn w:val="TableNormal"/>
    <w:uiPriority w:val="39"/>
    <w:rsid w:val="00BE2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F95EA8"/>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semiHidden/>
    <w:rsid w:val="00F95EA8"/>
    <w:rPr>
      <w:rFonts w:asciiTheme="majorHAnsi" w:eastAsiaTheme="majorEastAsia" w:hAnsiTheme="majorHAnsi" w:cstheme="majorBidi"/>
      <w:color w:val="2E74B5" w:themeColor="accent1" w:themeShade="BF"/>
      <w:sz w:val="24"/>
      <w:szCs w:val="24"/>
    </w:rPr>
  </w:style>
  <w:style w:type="paragraph" w:styleId="NormalWeb">
    <w:name w:val="Normal (Web)"/>
    <w:basedOn w:val="Normal"/>
    <w:uiPriority w:val="99"/>
    <w:semiHidden/>
    <w:unhideWhenUsed/>
    <w:rsid w:val="00F95EA8"/>
    <w:rPr>
      <w:rFonts w:ascii="Times New Roman" w:eastAsia="Times New Roman" w:hAnsi="Times New Roman"/>
      <w:lang w:eastAsia="en-GB"/>
    </w:rPr>
  </w:style>
  <w:style w:type="character" w:styleId="Emphasis">
    <w:name w:val="Emphasis"/>
    <w:basedOn w:val="DefaultParagraphFont"/>
    <w:uiPriority w:val="20"/>
    <w:qFormat/>
    <w:rsid w:val="00F95EA8"/>
    <w:rPr>
      <w:i/>
      <w:iCs/>
    </w:rPr>
  </w:style>
  <w:style w:type="character" w:styleId="Strong">
    <w:name w:val="Strong"/>
    <w:basedOn w:val="DefaultParagraphFont"/>
    <w:uiPriority w:val="22"/>
    <w:qFormat/>
    <w:rsid w:val="00F95EA8"/>
    <w:rPr>
      <w:b/>
      <w:bCs/>
    </w:rPr>
  </w:style>
  <w:style w:type="paragraph" w:customStyle="1" w:styleId="body0">
    <w:name w:val="body"/>
    <w:basedOn w:val="BasicParagraph"/>
    <w:uiPriority w:val="99"/>
    <w:rsid w:val="00A5132F"/>
    <w:pPr>
      <w:spacing w:before="0" w:beforeAutospacing="0" w:after="113" w:afterAutospacing="0" w:line="240" w:lineRule="atLeast"/>
    </w:pPr>
    <w:rPr>
      <w:rFonts w:ascii="Roboto" w:hAnsi="Roboto" w:cs="Roboto"/>
      <w:spacing w:val="0"/>
      <w:sz w:val="18"/>
      <w:szCs w:val="18"/>
    </w:rPr>
  </w:style>
  <w:style w:type="paragraph" w:customStyle="1" w:styleId="body-subtitle">
    <w:name w:val="body-subtitle"/>
    <w:basedOn w:val="body0"/>
    <w:uiPriority w:val="99"/>
    <w:rsid w:val="00A5132F"/>
    <w:pPr>
      <w:spacing w:line="280" w:lineRule="atLeast"/>
    </w:pPr>
    <w:rPr>
      <w:b/>
      <w:bCs/>
      <w:color w:val="185A7D"/>
      <w:sz w:val="24"/>
      <w:szCs w:val="24"/>
    </w:rPr>
  </w:style>
  <w:style w:type="paragraph" w:customStyle="1" w:styleId="body-first">
    <w:name w:val="body-first"/>
    <w:basedOn w:val="body0"/>
    <w:uiPriority w:val="99"/>
    <w:rsid w:val="007D1960"/>
    <w:pPr>
      <w:spacing w:line="320" w:lineRule="atLeast"/>
    </w:pPr>
    <w:rPr>
      <w:rFonts w:ascii="Roboto Black" w:hAnsi="Roboto Black" w:cs="Roboto Black"/>
      <w:sz w:val="28"/>
      <w:szCs w:val="28"/>
    </w:rPr>
  </w:style>
  <w:style w:type="paragraph" w:customStyle="1" w:styleId="Subtitle1">
    <w:name w:val="Subtitle 1"/>
    <w:basedOn w:val="body-subtitle"/>
    <w:uiPriority w:val="99"/>
    <w:rsid w:val="009563B4"/>
    <w:pPr>
      <w:spacing w:line="320" w:lineRule="atLeast"/>
    </w:pPr>
    <w:rPr>
      <w:sz w:val="28"/>
      <w:szCs w:val="28"/>
    </w:rPr>
  </w:style>
  <w:style w:type="paragraph" w:customStyle="1" w:styleId="Bodybullets">
    <w:name w:val="Body bullets"/>
    <w:basedOn w:val="body0"/>
    <w:uiPriority w:val="99"/>
    <w:rsid w:val="007439D1"/>
    <w:pPr>
      <w:ind w:left="283" w:hanging="283"/>
    </w:pPr>
  </w:style>
  <w:style w:type="paragraph" w:styleId="Subtitle0">
    <w:name w:val="Subtitle"/>
    <w:basedOn w:val="Normal"/>
    <w:link w:val="SubtitleChar"/>
    <w:uiPriority w:val="99"/>
    <w:qFormat/>
    <w:rsid w:val="00EB4E8E"/>
    <w:pPr>
      <w:suppressAutoHyphens/>
      <w:autoSpaceDE w:val="0"/>
      <w:autoSpaceDN w:val="0"/>
      <w:adjustRightInd w:val="0"/>
      <w:spacing w:before="0" w:beforeAutospacing="0" w:after="170" w:afterAutospacing="0" w:line="600" w:lineRule="atLeast"/>
      <w:textAlignment w:val="center"/>
    </w:pPr>
    <w:rPr>
      <w:rFonts w:ascii="Roboto Thin" w:eastAsiaTheme="minorHAnsi" w:hAnsi="Roboto Thin" w:cs="Roboto Thin"/>
      <w:color w:val="185A7D"/>
      <w:sz w:val="40"/>
      <w:szCs w:val="40"/>
      <w:lang w:val="en-US"/>
    </w:rPr>
  </w:style>
  <w:style w:type="character" w:customStyle="1" w:styleId="SubtitleChar">
    <w:name w:val="Subtitle Char"/>
    <w:basedOn w:val="DefaultParagraphFont"/>
    <w:link w:val="Subtitle0"/>
    <w:uiPriority w:val="99"/>
    <w:rsid w:val="00EB4E8E"/>
    <w:rPr>
      <w:rFonts w:ascii="Roboto Thin" w:hAnsi="Roboto Thin" w:cs="Roboto Thin"/>
      <w:color w:val="185A7D"/>
      <w:sz w:val="40"/>
      <w:szCs w:val="40"/>
      <w:lang w:val="en-US"/>
    </w:rPr>
  </w:style>
  <w:style w:type="paragraph" w:customStyle="1" w:styleId="Body2Column">
    <w:name w:val="Body 2 Column"/>
    <w:basedOn w:val="body0"/>
    <w:uiPriority w:val="99"/>
    <w:rsid w:val="001F64A7"/>
  </w:style>
  <w:style w:type="paragraph" w:customStyle="1" w:styleId="Callout">
    <w:name w:val="Callout"/>
    <w:basedOn w:val="Normal"/>
    <w:uiPriority w:val="99"/>
    <w:rsid w:val="001F64A7"/>
    <w:pPr>
      <w:suppressAutoHyphens/>
      <w:autoSpaceDE w:val="0"/>
      <w:autoSpaceDN w:val="0"/>
      <w:adjustRightInd w:val="0"/>
      <w:spacing w:before="0" w:beforeAutospacing="0" w:after="0" w:afterAutospacing="0" w:line="288" w:lineRule="auto"/>
      <w:textAlignment w:val="center"/>
    </w:pPr>
    <w:rPr>
      <w:rFonts w:eastAsiaTheme="minorHAnsi" w:cs="Roboto"/>
      <w:b/>
      <w:bCs/>
      <w:color w:val="FFFFED"/>
      <w:lang w:val="en-GB"/>
    </w:rPr>
  </w:style>
  <w:style w:type="paragraph" w:customStyle="1" w:styleId="Bodynumberlist">
    <w:name w:val="Body number list"/>
    <w:basedOn w:val="body0"/>
    <w:uiPriority w:val="99"/>
    <w:rsid w:val="00CD18A1"/>
    <w:pPr>
      <w:ind w:left="283" w:hanging="283"/>
    </w:pPr>
  </w:style>
  <w:style w:type="paragraph" w:customStyle="1" w:styleId="HeaderTOC">
    <w:name w:val="HeaderTOC"/>
    <w:basedOn w:val="BodyText"/>
    <w:rsid w:val="00076C4A"/>
    <w:pPr>
      <w:widowControl/>
      <w:autoSpaceDE/>
      <w:autoSpaceDN/>
      <w:spacing w:before="0" w:beforeAutospacing="0" w:after="0" w:afterAutospacing="0" w:line="240" w:lineRule="atLeast"/>
      <w:jc w:val="both"/>
    </w:pPr>
    <w:rPr>
      <w:rFonts w:ascii="Arial Narrow" w:eastAsia="Times New Roman" w:hAnsi="Arial Narrow" w:cs="Times New Roman"/>
      <w:b/>
      <w:sz w:val="28"/>
      <w:szCs w:val="20"/>
      <w:lang w:val="en-GB" w:eastAsia="en-US" w:bidi="ar-SA"/>
    </w:rPr>
  </w:style>
  <w:style w:type="paragraph" w:styleId="TOC1">
    <w:name w:val="toc 1"/>
    <w:basedOn w:val="Normal"/>
    <w:next w:val="Normal"/>
    <w:autoRedefine/>
    <w:uiPriority w:val="39"/>
    <w:unhideWhenUsed/>
    <w:rsid w:val="005C624C"/>
  </w:style>
  <w:style w:type="paragraph" w:styleId="TOC2">
    <w:name w:val="toc 2"/>
    <w:basedOn w:val="Normal"/>
    <w:next w:val="Normal"/>
    <w:autoRedefine/>
    <w:uiPriority w:val="39"/>
    <w:unhideWhenUsed/>
    <w:rsid w:val="005C624C"/>
    <w:pPr>
      <w:ind w:left="240"/>
    </w:pPr>
  </w:style>
  <w:style w:type="paragraph" w:styleId="TOC3">
    <w:name w:val="toc 3"/>
    <w:basedOn w:val="Normal"/>
    <w:next w:val="Normal"/>
    <w:autoRedefine/>
    <w:uiPriority w:val="39"/>
    <w:unhideWhenUsed/>
    <w:rsid w:val="005C624C"/>
    <w:pPr>
      <w:ind w:left="480"/>
    </w:pPr>
  </w:style>
  <w:style w:type="character" w:styleId="UnresolvedMention">
    <w:name w:val="Unresolved Mention"/>
    <w:basedOn w:val="DefaultParagraphFont"/>
    <w:uiPriority w:val="99"/>
    <w:semiHidden/>
    <w:unhideWhenUsed/>
    <w:rsid w:val="009C50FD"/>
    <w:rPr>
      <w:color w:val="605E5C"/>
      <w:shd w:val="clear" w:color="auto" w:fill="E1DFDD"/>
    </w:rPr>
  </w:style>
  <w:style w:type="character" w:styleId="FollowedHyperlink">
    <w:name w:val="FollowedHyperlink"/>
    <w:basedOn w:val="DefaultParagraphFont"/>
    <w:uiPriority w:val="99"/>
    <w:semiHidden/>
    <w:unhideWhenUsed/>
    <w:rsid w:val="009C50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6843092">
      <w:bodyDiv w:val="1"/>
      <w:marLeft w:val="0"/>
      <w:marRight w:val="0"/>
      <w:marTop w:val="0"/>
      <w:marBottom w:val="0"/>
      <w:divBdr>
        <w:top w:val="none" w:sz="0" w:space="0" w:color="auto"/>
        <w:left w:val="none" w:sz="0" w:space="0" w:color="auto"/>
        <w:bottom w:val="none" w:sz="0" w:space="0" w:color="auto"/>
        <w:right w:val="none" w:sz="0" w:space="0" w:color="auto"/>
      </w:divBdr>
    </w:div>
    <w:div w:id="599535114">
      <w:bodyDiv w:val="1"/>
      <w:marLeft w:val="0"/>
      <w:marRight w:val="0"/>
      <w:marTop w:val="0"/>
      <w:marBottom w:val="0"/>
      <w:divBdr>
        <w:top w:val="none" w:sz="0" w:space="0" w:color="auto"/>
        <w:left w:val="none" w:sz="0" w:space="0" w:color="auto"/>
        <w:bottom w:val="none" w:sz="0" w:space="0" w:color="auto"/>
        <w:right w:val="none" w:sz="0" w:space="0" w:color="auto"/>
      </w:divBdr>
      <w:divsChild>
        <w:div w:id="1790203380">
          <w:marLeft w:val="0"/>
          <w:marRight w:val="0"/>
          <w:marTop w:val="0"/>
          <w:marBottom w:val="0"/>
          <w:divBdr>
            <w:top w:val="none" w:sz="0" w:space="0" w:color="auto"/>
            <w:left w:val="none" w:sz="0" w:space="0" w:color="auto"/>
            <w:bottom w:val="none" w:sz="0" w:space="0" w:color="auto"/>
            <w:right w:val="none" w:sz="0" w:space="0" w:color="auto"/>
          </w:divBdr>
          <w:divsChild>
            <w:div w:id="1894191465">
              <w:marLeft w:val="0"/>
              <w:marRight w:val="0"/>
              <w:marTop w:val="600"/>
              <w:marBottom w:val="0"/>
              <w:divBdr>
                <w:top w:val="none" w:sz="0" w:space="0" w:color="auto"/>
                <w:left w:val="none" w:sz="0" w:space="0" w:color="auto"/>
                <w:bottom w:val="none" w:sz="0" w:space="0" w:color="auto"/>
                <w:right w:val="none" w:sz="0" w:space="0" w:color="auto"/>
              </w:divBdr>
              <w:divsChild>
                <w:div w:id="159104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798797">
      <w:bodyDiv w:val="1"/>
      <w:marLeft w:val="0"/>
      <w:marRight w:val="0"/>
      <w:marTop w:val="0"/>
      <w:marBottom w:val="0"/>
      <w:divBdr>
        <w:top w:val="none" w:sz="0" w:space="0" w:color="auto"/>
        <w:left w:val="none" w:sz="0" w:space="0" w:color="auto"/>
        <w:bottom w:val="none" w:sz="0" w:space="0" w:color="auto"/>
        <w:right w:val="none" w:sz="0" w:space="0" w:color="auto"/>
      </w:divBdr>
    </w:div>
    <w:div w:id="1181119163">
      <w:bodyDiv w:val="1"/>
      <w:marLeft w:val="0"/>
      <w:marRight w:val="0"/>
      <w:marTop w:val="0"/>
      <w:marBottom w:val="0"/>
      <w:divBdr>
        <w:top w:val="none" w:sz="0" w:space="0" w:color="auto"/>
        <w:left w:val="none" w:sz="0" w:space="0" w:color="auto"/>
        <w:bottom w:val="none" w:sz="0" w:space="0" w:color="auto"/>
        <w:right w:val="none" w:sz="0" w:space="0" w:color="auto"/>
      </w:divBdr>
    </w:div>
    <w:div w:id="1332248160">
      <w:bodyDiv w:val="1"/>
      <w:marLeft w:val="0"/>
      <w:marRight w:val="0"/>
      <w:marTop w:val="0"/>
      <w:marBottom w:val="0"/>
      <w:divBdr>
        <w:top w:val="none" w:sz="0" w:space="0" w:color="auto"/>
        <w:left w:val="none" w:sz="0" w:space="0" w:color="auto"/>
        <w:bottom w:val="none" w:sz="0" w:space="0" w:color="auto"/>
        <w:right w:val="none" w:sz="0" w:space="0" w:color="auto"/>
      </w:divBdr>
    </w:div>
    <w:div w:id="147556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tovic.com.au/about-us/charter" TargetMode="External"/><Relationship Id="rId18" Type="http://schemas.openxmlformats.org/officeDocument/2006/relationships/hyperlink" Target="https://www.ptovic.com.au/about-us/publications-media/bulletins" TargetMode="External"/><Relationship Id="rId26" Type="http://schemas.openxmlformats.org/officeDocument/2006/relationships/hyperlink" Target="https://www.communications.gov.au/what-we-do/phone/services-people-disability/accesshub/national-relay-service" TargetMode="Externa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ptovic.com.au/improving-pt/systemic-issues/have-your-say" TargetMode="External"/><Relationship Id="rId17" Type="http://schemas.openxmlformats.org/officeDocument/2006/relationships/hyperlink" Target="https://www.ptovic.com.au/improving-pt/systemic-issues/have-your-say" TargetMode="External"/><Relationship Id="rId25" Type="http://schemas.openxmlformats.org/officeDocument/2006/relationships/hyperlink" Target="tel:1800466865"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youtube.com/watch?v=peO1iLsizWE" TargetMode="External"/><Relationship Id="rId20" Type="http://schemas.openxmlformats.org/officeDocument/2006/relationships/footer" Target="footer1.xml"/><Relationship Id="rId29" Type="http://schemas.openxmlformats.org/officeDocument/2006/relationships/hyperlink" Target="https://www.ptovic.com.au/complaints/complaint-for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tovic.com.au/documents/independent-reviews/3-pto-board-response-to-2019-scheme-review/file" TargetMode="External"/><Relationship Id="rId24" Type="http://schemas.openxmlformats.org/officeDocument/2006/relationships/header" Target="header4.xml"/><Relationship Id="rId32" Type="http://schemas.openxmlformats.org/officeDocument/2006/relationships/hyperlink" Target="https://twitter.com/ptovic" TargetMode="External"/><Relationship Id="rId5" Type="http://schemas.openxmlformats.org/officeDocument/2006/relationships/webSettings" Target="webSettings.xml"/><Relationship Id="rId15" Type="http://schemas.openxmlformats.org/officeDocument/2006/relationships/hyperlink" Target="https://www.ptovic.com.au/improving-pt/accessibility" TargetMode="External"/><Relationship Id="rId23" Type="http://schemas.openxmlformats.org/officeDocument/2006/relationships/footer" Target="footer2.xml"/><Relationship Id="rId28" Type="http://schemas.openxmlformats.org/officeDocument/2006/relationships/hyperlink" Target="tel:131450" TargetMode="External"/><Relationship Id="rId36" Type="http://schemas.openxmlformats.org/officeDocument/2006/relationships/theme" Target="theme/theme1.xml"/><Relationship Id="rId10" Type="http://schemas.openxmlformats.org/officeDocument/2006/relationships/hyperlink" Target="https://www.ptovic.com.au/documents/independent-reviews/10-2019-independent-review-of-pto-queen-margaret-university-1/file" TargetMode="External"/><Relationship Id="rId19" Type="http://schemas.openxmlformats.org/officeDocument/2006/relationships/header" Target="header1.xml"/><Relationship Id="rId31" Type="http://schemas.openxmlformats.org/officeDocument/2006/relationships/hyperlink" Target="https://www.facebook.com/PublicTransportOmbudsman/" TargetMode="External"/><Relationship Id="rId4" Type="http://schemas.openxmlformats.org/officeDocument/2006/relationships/settings" Target="settings.xml"/><Relationship Id="rId9" Type="http://schemas.openxmlformats.org/officeDocument/2006/relationships/hyperlink" Target="https://www.ptovic.com.au/improving-pt/systemic-issues/have-your-say" TargetMode="External"/><Relationship Id="rId14" Type="http://schemas.openxmlformats.org/officeDocument/2006/relationships/hyperlink" Target="https://www.youtube.com/watch?v=44fp4ZxjIYc" TargetMode="External"/><Relationship Id="rId22" Type="http://schemas.openxmlformats.org/officeDocument/2006/relationships/header" Target="header3.xml"/><Relationship Id="rId27" Type="http://schemas.openxmlformats.org/officeDocument/2006/relationships/hyperlink" Target="https://www.tisnational.gov.au/" TargetMode="External"/><Relationship Id="rId30" Type="http://schemas.openxmlformats.org/officeDocument/2006/relationships/hyperlink" Target="mailto:enquiries@ptovic.com.au" TargetMode="External"/><Relationship Id="rId35" Type="http://schemas.openxmlformats.org/officeDocument/2006/relationships/fontTable" Target="fontTable.xml"/><Relationship Id="rId8" Type="http://schemas.openxmlformats.org/officeDocument/2006/relationships/hyperlink" Target="https://www.ptovic.com.au/improving-pt/systemic-issues/have-your-sa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ptovic.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8BE92-258E-E142-A17B-2B9578913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31</Pages>
  <Words>7559</Words>
  <Characters>43092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Ruben Shannon</dc:creator>
  <cp:keywords/>
  <dc:description/>
  <cp:lastModifiedBy>Ruben Shannon</cp:lastModifiedBy>
  <cp:revision>23</cp:revision>
  <dcterms:created xsi:type="dcterms:W3CDTF">2020-11-09T05:19:00Z</dcterms:created>
  <dcterms:modified xsi:type="dcterms:W3CDTF">2020-11-10T01:39:00Z</dcterms:modified>
</cp:coreProperties>
</file>